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6" w:rsidRPr="007223ED" w:rsidRDefault="00582E1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AÇIKLAMALAR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7223ED" w:rsidRDefault="00EC7B76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76" w:rsidRPr="00F76996" w:rsidRDefault="00F76996" w:rsidP="00F76996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Sistemi Genel Müdürlüğümüze bağlı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okul öncesi eğitim, ilkokul, ortaokul ve yatılı bölge ortaokulları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imam hatip ortaokulları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nı kapsamaktadır. </w:t>
      </w:r>
      <w:proofErr w:type="gramStart"/>
      <w:r w:rsidR="00EC7B76" w:rsidRPr="00F76996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582E18" w:rsidRPr="00F76996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proofErr w:type="gramEnd"/>
      <w:r w:rsidR="00EC7B76" w:rsidRPr="00F76996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AE6C5D" w:rsidRPr="00F7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="007223ED" w:rsidRPr="00F76996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7223ED" w:rsidRPr="00F7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bölümünde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F76996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="00EF2B3B" w:rsidRPr="00F76996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hazırlanan kaynaklar hakkında bilgilendirilmesi, </w:t>
      </w:r>
    </w:p>
    <w:p w:rsidR="00EC7B76" w:rsidRPr="007223ED" w:rsidRDefault="00EC7B76" w:rsidP="00353EF8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1942"/>
        <w:gridCol w:w="3707"/>
      </w:tblGrid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D7CB4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0E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 xml:space="preserve"> Nisan 2018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250E37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Nisan 2018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Bilgilendirme toplantılarının yapılması</w:t>
            </w:r>
          </w:p>
        </w:tc>
      </w:tr>
      <w:tr w:rsidR="007223ED" w:rsidRPr="007223ED" w:rsidTr="001C1619">
        <w:trPr>
          <w:trHeight w:val="393"/>
        </w:trPr>
        <w:tc>
          <w:tcPr>
            <w:tcW w:w="1942" w:type="dxa"/>
          </w:tcPr>
          <w:p w:rsidR="00EC7B76" w:rsidRPr="007223ED" w:rsidRDefault="003D7CB4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705BF8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7223ED" w:rsidRPr="007223ED" w:rsidTr="001C1619">
        <w:trPr>
          <w:trHeight w:val="410"/>
        </w:trPr>
        <w:tc>
          <w:tcPr>
            <w:tcW w:w="1942" w:type="dxa"/>
          </w:tcPr>
          <w:p w:rsidR="00EC7B76" w:rsidRPr="007223ED" w:rsidRDefault="003D7CB4" w:rsidP="00445E52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6662">
              <w:rPr>
                <w:rFonts w:ascii="Times New Roman" w:hAnsi="Times New Roman" w:cs="Times New Roman"/>
                <w:sz w:val="24"/>
                <w:szCs w:val="24"/>
              </w:rPr>
              <w:t xml:space="preserve">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07" w:type="dxa"/>
          </w:tcPr>
          <w:p w:rsidR="00EC7B76" w:rsidRPr="007223ED" w:rsidRDefault="00326662" w:rsidP="00326662">
            <w:pPr>
              <w:tabs>
                <w:tab w:val="left" w:pos="675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</w:tbl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7223ED" w:rsidRDefault="00797403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7223ED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26662" w:rsidRDefault="00326662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</w:t>
      </w:r>
      <w:r w:rsidR="00912DE6">
        <w:rPr>
          <w:rFonts w:ascii="Times New Roman" w:hAnsi="Times New Roman" w:cs="Times New Roman"/>
          <w:sz w:val="24"/>
          <w:szCs w:val="24"/>
        </w:rPr>
        <w:t>BBİS sayfası üzerinde “Kurum</w:t>
      </w:r>
      <w:r w:rsidRPr="007223ED">
        <w:rPr>
          <w:rFonts w:ascii="Times New Roman" w:hAnsi="Times New Roman" w:cs="Times New Roman"/>
          <w:sz w:val="24"/>
          <w:szCs w:val="24"/>
        </w:rPr>
        <w:t xml:space="preserve">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C5D" w:rsidRPr="007223ED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582E18">
        <w:rPr>
          <w:rFonts w:ascii="Times New Roman" w:hAnsi="Times New Roman" w:cs="Times New Roman"/>
          <w:sz w:val="24"/>
          <w:szCs w:val="24"/>
        </w:rPr>
        <w:t>/İ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Default="00686A91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</w:t>
      </w:r>
      <w:r w:rsidR="00582E1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</w:t>
      </w:r>
      <w:r w:rsidR="00582E18">
        <w:rPr>
          <w:rFonts w:ascii="Times New Roman" w:hAnsi="Times New Roman" w:cs="Times New Roman"/>
          <w:sz w:val="24"/>
          <w:szCs w:val="24"/>
        </w:rPr>
        <w:t>lüne yönelik veri girişlerinin S</w:t>
      </w:r>
      <w:r>
        <w:rPr>
          <w:rFonts w:ascii="Times New Roman" w:hAnsi="Times New Roman" w:cs="Times New Roman"/>
          <w:sz w:val="24"/>
          <w:szCs w:val="24"/>
        </w:rPr>
        <w:t xml:space="preserve">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 xml:space="preserve">Ekranı” </w:t>
      </w:r>
      <w:proofErr w:type="spellStart"/>
      <w:r w:rsidR="00657769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="00657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61E7E" w:rsidRPr="00B54325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proofErr w:type="gramStart"/>
      <w:r w:rsidR="00540558" w:rsidRPr="007223ED"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 w:rsidR="00540558" w:rsidRPr="007223ED">
        <w:rPr>
          <w:rFonts w:ascii="Times New Roman" w:hAnsi="Times New Roman" w:cs="Times New Roman"/>
          <w:sz w:val="24"/>
          <w:szCs w:val="24"/>
        </w:rPr>
        <w:t xml:space="preserve">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BD2E81" w:rsidRPr="00AC3B6C">
        <w:rPr>
          <w:rFonts w:ascii="Times New Roman" w:hAnsi="Times New Roman" w:cs="Times New Roman"/>
          <w:sz w:val="24"/>
          <w:szCs w:val="24"/>
        </w:rPr>
        <w:t xml:space="preserve"> 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kuldan ve </w:t>
      </w:r>
      <w:proofErr w:type="spellStart"/>
      <w:r w:rsidR="002A3BD9" w:rsidRPr="00AC3B6C">
        <w:rPr>
          <w:rFonts w:ascii="Times New Roman" w:hAnsi="Times New Roman" w:cs="Times New Roman"/>
          <w:sz w:val="24"/>
          <w:szCs w:val="24"/>
        </w:rPr>
        <w:t>MEBBİS’in</w:t>
      </w:r>
      <w:proofErr w:type="spellEnd"/>
      <w:r w:rsidR="002A3BD9" w:rsidRPr="00AC3B6C">
        <w:rPr>
          <w:rFonts w:ascii="Times New Roman" w:hAnsi="Times New Roman" w:cs="Times New Roman"/>
          <w:sz w:val="24"/>
          <w:szCs w:val="24"/>
        </w:rPr>
        <w:t xml:space="preserve"> diğer </w:t>
      </w:r>
      <w:proofErr w:type="gramStart"/>
      <w:r w:rsidR="002A3BD9" w:rsidRPr="00AC3B6C">
        <w:rPr>
          <w:rFonts w:ascii="Times New Roman" w:hAnsi="Times New Roman" w:cs="Times New Roman"/>
          <w:sz w:val="24"/>
          <w:szCs w:val="24"/>
        </w:rPr>
        <w:t>modüllerinden</w:t>
      </w:r>
      <w:proofErr w:type="gramEnd"/>
      <w:r w:rsidR="002A3BD9" w:rsidRPr="00AC3B6C">
        <w:rPr>
          <w:rFonts w:ascii="Times New Roman" w:hAnsi="Times New Roman" w:cs="Times New Roman"/>
          <w:sz w:val="24"/>
          <w:szCs w:val="24"/>
        </w:rPr>
        <w:t xml:space="preserve">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641219" w:rsidRDefault="00C60C25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lastRenderedPageBreak/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B61E7E">
        <w:rPr>
          <w:rFonts w:ascii="Times New Roman" w:hAnsi="Times New Roman" w:cs="Times New Roman"/>
          <w:sz w:val="24"/>
          <w:szCs w:val="24"/>
        </w:rPr>
        <w:t xml:space="preserve"> ve velilerin</w:t>
      </w:r>
      <w:r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(TC Kimlik No, Anne kızlık soyadı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61E7E">
        <w:rPr>
          <w:rFonts w:ascii="Times New Roman" w:hAnsi="Times New Roman" w:cs="Times New Roman"/>
          <w:sz w:val="24"/>
          <w:szCs w:val="24"/>
        </w:rPr>
        <w:t xml:space="preserve">talep edilmemesi ve </w:t>
      </w:r>
      <w:r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Anketlerin gönüllülük esasına göre doldurulması hususunun vurgulanması,</w:t>
      </w:r>
    </w:p>
    <w:p w:rsidR="00263F2A" w:rsidRDefault="00184FF2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girişlerini takip etmek suretiyle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263F2A">
        <w:rPr>
          <w:rFonts w:ascii="Times New Roman" w:hAnsi="Times New Roman" w:cs="Times New Roman"/>
          <w:sz w:val="24"/>
          <w:szCs w:val="24"/>
        </w:rPr>
        <w:t xml:space="preserve"> 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883EF7">
        <w:rPr>
          <w:rFonts w:ascii="Times New Roman" w:hAnsi="Times New Roman" w:cs="Times New Roman"/>
          <w:sz w:val="24"/>
          <w:szCs w:val="24"/>
        </w:rPr>
        <w:t xml:space="preserve"> </w:t>
      </w:r>
      <w:r w:rsidR="00AC2BC7">
        <w:rPr>
          <w:rFonts w:ascii="Times New Roman" w:hAnsi="Times New Roman" w:cs="Times New Roman"/>
          <w:sz w:val="24"/>
          <w:szCs w:val="24"/>
        </w:rPr>
        <w:t xml:space="preserve">ve okul aile birliği başkanı ve üyelerinin </w:t>
      </w:r>
      <w:r w:rsidR="00883EF7">
        <w:rPr>
          <w:rFonts w:ascii="Times New Roman" w:hAnsi="Times New Roman" w:cs="Times New Roman"/>
          <w:sz w:val="24"/>
          <w:szCs w:val="24"/>
        </w:rPr>
        <w:t>anketleri</w:t>
      </w:r>
      <w:r w:rsidR="00184FF2">
        <w:rPr>
          <w:rFonts w:ascii="Times New Roman" w:hAnsi="Times New Roman" w:cs="Times New Roman"/>
          <w:sz w:val="24"/>
          <w:szCs w:val="24"/>
        </w:rPr>
        <w:t xml:space="preserve"> </w:t>
      </w:r>
      <w:r w:rsidR="00883EF7">
        <w:rPr>
          <w:rFonts w:ascii="Times New Roman" w:hAnsi="Times New Roman" w:cs="Times New Roman"/>
          <w:sz w:val="24"/>
          <w:szCs w:val="24"/>
        </w:rPr>
        <w:t>tamamlamalarının sağlanması,</w:t>
      </w:r>
    </w:p>
    <w:p w:rsidR="00A27B8D" w:rsidRPr="007223ED" w:rsidRDefault="00A10552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 w:rsidR="00F76996">
        <w:rPr>
          <w:rFonts w:ascii="Times New Roman" w:hAnsi="Times New Roman" w:cs="Times New Roman"/>
          <w:sz w:val="24"/>
          <w:szCs w:val="24"/>
        </w:rPr>
        <w:t>veri girişlerinin 29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 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F76996">
        <w:rPr>
          <w:rFonts w:ascii="Times New Roman" w:hAnsi="Times New Roman" w:cs="Times New Roman"/>
          <w:sz w:val="24"/>
          <w:szCs w:val="24"/>
        </w:rPr>
        <w:t>2018</w:t>
      </w:r>
      <w:r w:rsidR="00445E52">
        <w:rPr>
          <w:rFonts w:ascii="Times New Roman" w:hAnsi="Times New Roman" w:cs="Times New Roman"/>
          <w:sz w:val="24"/>
          <w:szCs w:val="24"/>
        </w:rPr>
        <w:t xml:space="preserve">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Pr="008D7063" w:rsidRDefault="00A27B8D" w:rsidP="008D7063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F76996">
        <w:rPr>
          <w:rFonts w:ascii="Times New Roman" w:hAnsi="Times New Roman" w:cs="Times New Roman"/>
          <w:b/>
          <w:sz w:val="24"/>
          <w:szCs w:val="24"/>
        </w:rPr>
        <w:t>21 Mayıs 2018 - 29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76996">
        <w:rPr>
          <w:rFonts w:ascii="Times New Roman" w:hAnsi="Times New Roman" w:cs="Times New Roman"/>
          <w:b/>
          <w:sz w:val="24"/>
          <w:szCs w:val="24"/>
        </w:rPr>
        <w:t>aziran 2018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3429B6" w:rsidRPr="007223ED" w:rsidRDefault="006032A5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7223ED">
        <w:rPr>
          <w:rFonts w:ascii="Times New Roman" w:hAnsi="Times New Roman" w:cs="Times New Roman"/>
          <w:sz w:val="24"/>
          <w:szCs w:val="24"/>
        </w:rPr>
        <w:t>İlk</w:t>
      </w:r>
      <w:r w:rsidRPr="007223ED"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223ED" w:rsidRPr="007223ED" w:rsidTr="00502C51">
        <w:tc>
          <w:tcPr>
            <w:tcW w:w="3119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20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250E37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 xml:space="preserve"> Nisan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27B8D" w:rsidRPr="007223ED" w:rsidRDefault="00A27B8D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daki öğrenci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3429B6" w:rsidRPr="007223ED" w:rsidRDefault="006032A5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6032A5" w:rsidRPr="007223ED" w:rsidRDefault="00250E37" w:rsidP="00EC3ED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A5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 xml:space="preserve"> Nisan 2018</w:t>
            </w:r>
          </w:p>
        </w:tc>
        <w:tc>
          <w:tcPr>
            <w:tcW w:w="6520" w:type="dxa"/>
          </w:tcPr>
          <w:p w:rsidR="006032A5" w:rsidRPr="007223ED" w:rsidRDefault="00A27B8D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a yönelik gerekli bilgilendirme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250E37" w:rsidP="003D7CB4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 xml:space="preserve"> Nisan </w:t>
            </w:r>
            <w:r w:rsidR="00CC17D6" w:rsidRPr="00502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3D7C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3429B6" w:rsidRPr="007223ED" w:rsidRDefault="00CC17D6" w:rsidP="008635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tici, Öğretmen, Öğrenci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ve V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3D7CB4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 xml:space="preserve"> Mayıs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- 29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52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3429B6" w:rsidRPr="007223ED" w:rsidRDefault="00E73EA1" w:rsidP="00502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Verilerin 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Girişlerinin Tamamlanması.</w:t>
            </w:r>
            <w:proofErr w:type="gramEnd"/>
          </w:p>
        </w:tc>
      </w:tr>
      <w:tr w:rsidR="007223ED" w:rsidRPr="007223ED" w:rsidTr="00502C51">
        <w:tc>
          <w:tcPr>
            <w:tcW w:w="3119" w:type="dxa"/>
          </w:tcPr>
          <w:p w:rsidR="00E73EA1" w:rsidRPr="007223ED" w:rsidRDefault="003D7CB4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0B">
              <w:rPr>
                <w:rFonts w:ascii="Times New Roman" w:hAnsi="Times New Roman" w:cs="Times New Roman"/>
                <w:sz w:val="24"/>
                <w:szCs w:val="24"/>
              </w:rPr>
              <w:t xml:space="preserve">-31 Ağustos </w:t>
            </w:r>
            <w:r w:rsidR="00F769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0" w:type="dxa"/>
          </w:tcPr>
          <w:p w:rsidR="00E73EA1" w:rsidRPr="007223ED" w:rsidRDefault="00F76996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eğitim ve ö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yılına ait Kurumsal Analitiklerin alınması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EF7" w:rsidRPr="007223ED" w:rsidTr="00502C51">
        <w:tc>
          <w:tcPr>
            <w:tcW w:w="3119" w:type="dxa"/>
          </w:tcPr>
          <w:p w:rsidR="00883EF7" w:rsidRDefault="003D7CB4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 Eylül 2018</w:t>
            </w:r>
          </w:p>
        </w:tc>
        <w:tc>
          <w:tcPr>
            <w:tcW w:w="6520" w:type="dxa"/>
          </w:tcPr>
          <w:p w:rsidR="00883EF7" w:rsidRDefault="00883EF7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90B" w:rsidRDefault="00BC1414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Pr="007223ED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  <w:r w:rsidRPr="007223ED">
        <w:rPr>
          <w:rFonts w:ascii="Times New Roman" w:hAnsi="Times New Roman" w:cs="Times New Roman"/>
          <w:b/>
        </w:rPr>
        <w:t xml:space="preserve"> </w:t>
      </w:r>
    </w:p>
    <w:p w:rsidR="003429B6" w:rsidRDefault="00502C5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  <w:r w:rsidR="003429B6" w:rsidRPr="00502C51">
        <w:rPr>
          <w:rFonts w:ascii="Times New Roman" w:hAnsi="Times New Roman" w:cs="Times New Roman"/>
        </w:rPr>
        <w:t xml:space="preserve">  </w:t>
      </w:r>
    </w:p>
    <w:p w:rsidR="00502C51" w:rsidRPr="007223ED" w:rsidRDefault="00502C51" w:rsidP="00502C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A909D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4F1622">
        <w:rPr>
          <w:rFonts w:ascii="Times New Roman" w:hAnsi="Times New Roman" w:cs="Times New Roman"/>
        </w:rPr>
        <w:t>312 413 27 06</w:t>
      </w:r>
    </w:p>
    <w:p w:rsidR="003429B6" w:rsidRPr="007223ED" w:rsidRDefault="00445E52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EC3ED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gramStart"/>
      <w:r w:rsidRPr="007223ED">
        <w:rPr>
          <w:rFonts w:ascii="Times New Roman" w:hAnsi="Times New Roman" w:cs="Times New Roman"/>
          <w:b/>
        </w:rPr>
        <w:t>e</w:t>
      </w:r>
      <w:proofErr w:type="gramEnd"/>
      <w:r w:rsidRPr="007223ED">
        <w:rPr>
          <w:rFonts w:ascii="Times New Roman" w:hAnsi="Times New Roman" w:cs="Times New Roman"/>
          <w:b/>
        </w:rPr>
        <w:t>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46" w:rsidRDefault="00FC5A46" w:rsidP="003429B6">
      <w:pPr>
        <w:spacing w:after="0" w:line="240" w:lineRule="auto"/>
      </w:pPr>
      <w:r>
        <w:separator/>
      </w:r>
    </w:p>
  </w:endnote>
  <w:endnote w:type="continuationSeparator" w:id="0">
    <w:p w:rsidR="00FC5A46" w:rsidRDefault="00FC5A46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46" w:rsidRDefault="00FC5A46" w:rsidP="003429B6">
      <w:pPr>
        <w:spacing w:after="0" w:line="240" w:lineRule="auto"/>
      </w:pPr>
      <w:r>
        <w:separator/>
      </w:r>
    </w:p>
  </w:footnote>
  <w:footnote w:type="continuationSeparator" w:id="0">
    <w:p w:rsidR="00FC5A46" w:rsidRDefault="00FC5A46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76"/>
    <w:rsid w:val="00090119"/>
    <w:rsid w:val="000E390B"/>
    <w:rsid w:val="000F65FE"/>
    <w:rsid w:val="00107791"/>
    <w:rsid w:val="001324FD"/>
    <w:rsid w:val="00144A28"/>
    <w:rsid w:val="00173B4D"/>
    <w:rsid w:val="00184FF2"/>
    <w:rsid w:val="00191C9F"/>
    <w:rsid w:val="001B3515"/>
    <w:rsid w:val="00245056"/>
    <w:rsid w:val="00250E37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D7CB4"/>
    <w:rsid w:val="003E4DC3"/>
    <w:rsid w:val="004330B6"/>
    <w:rsid w:val="00445E52"/>
    <w:rsid w:val="00461D3E"/>
    <w:rsid w:val="004F1622"/>
    <w:rsid w:val="00502C51"/>
    <w:rsid w:val="00535709"/>
    <w:rsid w:val="00540558"/>
    <w:rsid w:val="00551340"/>
    <w:rsid w:val="005570EF"/>
    <w:rsid w:val="00566E89"/>
    <w:rsid w:val="00582E18"/>
    <w:rsid w:val="005F47CB"/>
    <w:rsid w:val="006032A5"/>
    <w:rsid w:val="00641219"/>
    <w:rsid w:val="00642C0B"/>
    <w:rsid w:val="00657769"/>
    <w:rsid w:val="00686A91"/>
    <w:rsid w:val="006946FD"/>
    <w:rsid w:val="006A4D0B"/>
    <w:rsid w:val="006B40A2"/>
    <w:rsid w:val="00705BF8"/>
    <w:rsid w:val="00710C17"/>
    <w:rsid w:val="007223ED"/>
    <w:rsid w:val="0074589D"/>
    <w:rsid w:val="00774A7E"/>
    <w:rsid w:val="00784974"/>
    <w:rsid w:val="00793CC4"/>
    <w:rsid w:val="00797403"/>
    <w:rsid w:val="007B3ADB"/>
    <w:rsid w:val="007C5EA7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12DE6"/>
    <w:rsid w:val="00937DEE"/>
    <w:rsid w:val="009A1F02"/>
    <w:rsid w:val="009D0141"/>
    <w:rsid w:val="00A043D2"/>
    <w:rsid w:val="00A10552"/>
    <w:rsid w:val="00A27B8D"/>
    <w:rsid w:val="00A34BE1"/>
    <w:rsid w:val="00A415DA"/>
    <w:rsid w:val="00A909DB"/>
    <w:rsid w:val="00AC2BC7"/>
    <w:rsid w:val="00AC3B6C"/>
    <w:rsid w:val="00AE6C5D"/>
    <w:rsid w:val="00B31D8D"/>
    <w:rsid w:val="00B54325"/>
    <w:rsid w:val="00B61E7E"/>
    <w:rsid w:val="00B83F67"/>
    <w:rsid w:val="00B85997"/>
    <w:rsid w:val="00B97270"/>
    <w:rsid w:val="00BC1414"/>
    <w:rsid w:val="00BD2E81"/>
    <w:rsid w:val="00C20595"/>
    <w:rsid w:val="00C60C25"/>
    <w:rsid w:val="00C71539"/>
    <w:rsid w:val="00C868C1"/>
    <w:rsid w:val="00C922F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632A"/>
    <w:rsid w:val="00E343B2"/>
    <w:rsid w:val="00E73EA1"/>
    <w:rsid w:val="00EC3ED7"/>
    <w:rsid w:val="00EC7B76"/>
    <w:rsid w:val="00ED5A51"/>
    <w:rsid w:val="00EF2B3B"/>
    <w:rsid w:val="00F76996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gm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unal</cp:lastModifiedBy>
  <cp:revision>2</cp:revision>
  <cp:lastPrinted>2017-03-24T12:45:00Z</cp:lastPrinted>
  <dcterms:created xsi:type="dcterms:W3CDTF">2018-04-13T13:09:00Z</dcterms:created>
  <dcterms:modified xsi:type="dcterms:W3CDTF">2018-04-13T13:09:00Z</dcterms:modified>
</cp:coreProperties>
</file>