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928228596"/>
        <w:docPartObj>
          <w:docPartGallery w:val="Cover Pages"/>
          <w:docPartUnique/>
        </w:docPartObj>
      </w:sdtPr>
      <w:sdtEndPr>
        <w:rPr>
          <w:rFonts w:ascii="Times New Roman" w:eastAsiaTheme="minorHAnsi" w:hAnsi="Times New Roman" w:cs="Times New Roman"/>
          <w:sz w:val="24"/>
          <w:szCs w:val="22"/>
        </w:rPr>
      </w:sdtEndPr>
      <w:sdtContent>
        <w:p w:rsidR="003447A9" w:rsidRDefault="008D0D2F" w:rsidP="008D0D2F">
          <w:pPr>
            <w:pStyle w:val="AralkYok"/>
            <w:jc w:val="center"/>
            <w:rPr>
              <w:rFonts w:asciiTheme="majorHAnsi" w:eastAsiaTheme="majorEastAsia" w:hAnsiTheme="majorHAnsi" w:cstheme="majorBidi"/>
              <w:sz w:val="72"/>
              <w:szCs w:val="72"/>
            </w:rPr>
          </w:pPr>
          <w:r>
            <w:rPr>
              <w:noProof/>
            </w:rPr>
            <w:drawing>
              <wp:inline distT="0" distB="0" distL="0" distR="0" wp14:anchorId="61AEE156" wp14:editId="0D077EE2">
                <wp:extent cx="1447138" cy="1428096"/>
                <wp:effectExtent l="0" t="0" r="1270" b="1270"/>
                <wp:docPr id="1" name="Resim 1" descr="Image result for 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b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481" t="3905" r="24033" b="4575"/>
                        <a:stretch/>
                      </pic:blipFill>
                      <pic:spPr bwMode="auto">
                        <a:xfrm>
                          <a:off x="0" y="0"/>
                          <a:ext cx="1448138" cy="1429082"/>
                        </a:xfrm>
                        <a:prstGeom prst="rect">
                          <a:avLst/>
                        </a:prstGeom>
                        <a:noFill/>
                        <a:ln>
                          <a:noFill/>
                        </a:ln>
                        <a:extLst>
                          <a:ext uri="{53640926-AAD7-44D8-BBD7-CCE9431645EC}">
                            <a14:shadowObscured xmlns:a14="http://schemas.microsoft.com/office/drawing/2010/main"/>
                          </a:ext>
                        </a:extLst>
                      </pic:spPr>
                    </pic:pic>
                  </a:graphicData>
                </a:graphic>
              </wp:inline>
            </w:drawing>
          </w:r>
          <w:r w:rsidR="003447A9">
            <w:rPr>
              <w:noProof/>
            </w:rPr>
            <mc:AlternateContent>
              <mc:Choice Requires="wps">
                <w:drawing>
                  <wp:anchor distT="0" distB="0" distL="114300" distR="114300" simplePos="0" relativeHeight="251659264" behindDoc="0" locked="0" layoutInCell="0" allowOverlap="1" wp14:anchorId="5E476261" wp14:editId="73960325">
                    <wp:simplePos x="0" y="0"/>
                    <wp:positionH relativeFrom="page">
                      <wp:align>center</wp:align>
                    </wp:positionH>
                    <wp:positionV relativeFrom="page">
                      <wp:align>bottom</wp:align>
                    </wp:positionV>
                    <wp:extent cx="8161020" cy="817880"/>
                    <wp:effectExtent l="0" t="0" r="0" b="5080"/>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3356824E" id="Dikdörtgen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XSFb+CwCAABEBAAADgAAAAAAAAAAAAAAAAAuAgAAZHJzL2Uy&#10;b0RvYy54bWxQSwECLQAUAAYACAAAACEA19N9PtsAAAAGAQAADwAAAAAAAAAAAAAAAACGBAAAZHJz&#10;L2Rvd25yZXYueG1sUEsFBgAAAAAEAAQA8wAAAI4FAAAAAA==&#10;" o:allowincell="f" fillcolor="#4472c4 [3208]" strokecolor="#5b9bd5 [3204]">
                    <w10:wrap anchorx="page" anchory="page"/>
                  </v:rect>
                </w:pict>
              </mc:Fallback>
            </mc:AlternateContent>
          </w:r>
          <w:r w:rsidR="003447A9">
            <w:rPr>
              <w:noProof/>
            </w:rPr>
            <mc:AlternateContent>
              <mc:Choice Requires="wps">
                <w:drawing>
                  <wp:anchor distT="0" distB="0" distL="114300" distR="114300" simplePos="0" relativeHeight="251662336" behindDoc="0" locked="0" layoutInCell="0" allowOverlap="1" wp14:anchorId="5D038F76" wp14:editId="6CA386CB">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7CAC2BD9" id="Dikdörtgen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5b9bd5 [3204]">
                    <w10:wrap anchorx="margin" anchory="page"/>
                  </v:rect>
                </w:pict>
              </mc:Fallback>
            </mc:AlternateContent>
          </w:r>
          <w:r w:rsidR="003447A9">
            <w:rPr>
              <w:noProof/>
            </w:rPr>
            <mc:AlternateContent>
              <mc:Choice Requires="wps">
                <w:drawing>
                  <wp:anchor distT="0" distB="0" distL="114300" distR="114300" simplePos="0" relativeHeight="251661312" behindDoc="0" locked="0" layoutInCell="0" allowOverlap="1" wp14:anchorId="58770D49" wp14:editId="6A4586CE">
                    <wp:simplePos x="0" y="0"/>
                    <wp:positionH relativeFrom="rightMargin">
                      <wp:align>center</wp:align>
                    </wp:positionH>
                    <wp:positionV relativeFrom="page">
                      <wp:align>center</wp:align>
                    </wp:positionV>
                    <wp:extent cx="90805" cy="10556240"/>
                    <wp:effectExtent l="0" t="0" r="4445" b="5080"/>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5D91F4E" id="Dikdörtgen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6H4EwuAgAAQQQAAA4AAAAAAAAAAAAAAAAALgIAAGRy&#10;cy9lMm9Eb2MueG1sUEsBAi0AFAAGAAgAAAAhAH0h4nPdAAAABQEAAA8AAAAAAAAAAAAAAAAAiAQA&#10;AGRycy9kb3ducmV2LnhtbFBLBQYAAAAABAAEAPMAAACSBQAAAAA=&#10;" o:allowincell="f" strokecolor="#5b9bd5 [3204]">
                    <w10:wrap anchorx="margin" anchory="page"/>
                  </v:rect>
                </w:pict>
              </mc:Fallback>
            </mc:AlternateContent>
          </w:r>
          <w:r w:rsidR="003447A9">
            <w:rPr>
              <w:noProof/>
            </w:rPr>
            <mc:AlternateContent>
              <mc:Choice Requires="wps">
                <w:drawing>
                  <wp:anchor distT="0" distB="0" distL="114300" distR="114300" simplePos="0" relativeHeight="251660288" behindDoc="0" locked="0" layoutInCell="0" allowOverlap="1" wp14:anchorId="08516C26" wp14:editId="36AEA314">
                    <wp:simplePos x="0" y="0"/>
                    <wp:positionH relativeFrom="page">
                      <wp:align>center</wp:align>
                    </wp:positionH>
                    <wp:positionV relativeFrom="topMargin">
                      <wp:align>top</wp:align>
                    </wp:positionV>
                    <wp:extent cx="8161020" cy="822960"/>
                    <wp:effectExtent l="0" t="0" r="24765" b="28575"/>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txbx>
                            <w:txbxContent>
                              <w:p w:rsidR="008D0D2F" w:rsidRDefault="008D0D2F" w:rsidP="008D0D2F">
                                <w:pPr>
                                  <w:jc w:val="center"/>
                                  <w:rPr>
                                    <w:rFonts w:ascii="Book Antiqua" w:hAnsi="Book Antiqua"/>
                                    <w:b/>
                                    <w:sz w:val="28"/>
                                  </w:rPr>
                                </w:pPr>
                              </w:p>
                              <w:p w:rsidR="008D0D2F" w:rsidRPr="008D0D2F" w:rsidRDefault="008D0D2F" w:rsidP="008D0D2F">
                                <w:pPr>
                                  <w:jc w:val="center"/>
                                  <w:rPr>
                                    <w:rFonts w:ascii="Book Antiqua" w:hAnsi="Book Antiqua"/>
                                    <w:b/>
                                    <w:sz w:val="28"/>
                                  </w:rPr>
                                </w:pPr>
                                <w:r w:rsidRPr="008D0D2F">
                                  <w:rPr>
                                    <w:rFonts w:ascii="Book Antiqua" w:hAnsi="Book Antiqua"/>
                                    <w:b/>
                                    <w:sz w:val="28"/>
                                  </w:rPr>
                                  <w:t>EK-1</w:t>
                                </w:r>
                              </w:p>
                              <w:p w:rsidR="008D0D2F" w:rsidRDefault="008D0D2F"/>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08516C26" id="Dikdörtgen 3" o:spid="_x0000_s1026" style="position:absolute;left:0;text-align:left;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" o:allowincell="f" fillcolor="#4472c4 [3208]" strokecolor="#5b9bd5 [3204]">
                    <v:textbox>
                      <w:txbxContent>
                        <w:p w:rsidR="008D0D2F" w:rsidRDefault="008D0D2F" w:rsidP="008D0D2F">
                          <w:pPr>
                            <w:jc w:val="center"/>
                            <w:rPr>
                              <w:rFonts w:ascii="Book Antiqua" w:hAnsi="Book Antiqua"/>
                              <w:b/>
                              <w:sz w:val="28"/>
                            </w:rPr>
                          </w:pPr>
                        </w:p>
                        <w:p w:rsidR="008D0D2F" w:rsidRPr="008D0D2F" w:rsidRDefault="008D0D2F" w:rsidP="008D0D2F">
                          <w:pPr>
                            <w:jc w:val="center"/>
                            <w:rPr>
                              <w:rFonts w:ascii="Book Antiqua" w:hAnsi="Book Antiqua"/>
                              <w:b/>
                              <w:sz w:val="28"/>
                            </w:rPr>
                          </w:pPr>
                          <w:r w:rsidRPr="008D0D2F">
                            <w:rPr>
                              <w:rFonts w:ascii="Book Antiqua" w:hAnsi="Book Antiqua"/>
                              <w:b/>
                              <w:sz w:val="28"/>
                            </w:rPr>
                            <w:t>EK-1</w:t>
                          </w:r>
                        </w:p>
                        <w:p w:rsidR="008D0D2F" w:rsidRDefault="008D0D2F"/>
                      </w:txbxContent>
                    </v:textbox>
                    <w10:wrap anchorx="page" anchory="margin"/>
                  </v:rect>
                </w:pict>
              </mc:Fallback>
            </mc:AlternateContent>
          </w:r>
        </w:p>
        <w:sdt>
          <w:sdtPr>
            <w:rPr>
              <w:rFonts w:ascii="Book Antiqua" w:eastAsiaTheme="majorEastAsia" w:hAnsi="Book Antiqua" w:cstheme="majorBidi"/>
              <w:sz w:val="48"/>
              <w:szCs w:val="72"/>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3447A9" w:rsidRPr="00DC5761" w:rsidRDefault="008D0D2F" w:rsidP="008D0D2F">
              <w:pPr>
                <w:pStyle w:val="AralkYok"/>
                <w:jc w:val="center"/>
                <w:rPr>
                  <w:rFonts w:ascii="Book Antiqua" w:eastAsiaTheme="majorEastAsia" w:hAnsi="Book Antiqua" w:cstheme="majorBidi"/>
                  <w:sz w:val="48"/>
                  <w:szCs w:val="72"/>
                </w:rPr>
              </w:pPr>
              <w:r w:rsidRPr="00DC5761">
                <w:rPr>
                  <w:rFonts w:ascii="Book Antiqua" w:eastAsiaTheme="majorEastAsia" w:hAnsi="Book Antiqua" w:cstheme="majorBidi"/>
                  <w:sz w:val="48"/>
                  <w:szCs w:val="72"/>
                </w:rPr>
                <w:t>MİLLİ EĞİTİM BAKANLIĞI                Strateji Geliştirme Başkanlığı</w:t>
              </w:r>
            </w:p>
          </w:sdtContent>
        </w:sdt>
        <w:p w:rsidR="003447A9" w:rsidRDefault="003447A9">
          <w:pPr>
            <w:pStyle w:val="AralkYok"/>
            <w:rPr>
              <w:rFonts w:asciiTheme="majorHAnsi" w:eastAsiaTheme="majorEastAsia" w:hAnsiTheme="majorHAnsi" w:cstheme="majorBidi"/>
              <w:sz w:val="36"/>
              <w:szCs w:val="36"/>
            </w:rPr>
          </w:pPr>
        </w:p>
        <w:p w:rsidR="003447A9" w:rsidRDefault="003447A9">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8D0D2F" w:rsidRDefault="008D0D2F" w:rsidP="008D0D2F">
          <w:pPr>
            <w:spacing w:after="0" w:line="360" w:lineRule="auto"/>
            <w:jc w:val="center"/>
            <w:rPr>
              <w:rFonts w:ascii="Book Antiqua" w:hAnsi="Book Antiqua" w:cs="Times New Roman"/>
              <w:b/>
              <w:sz w:val="32"/>
              <w:szCs w:val="24"/>
            </w:rPr>
          </w:pPr>
          <w:r w:rsidRPr="008D0D2F">
            <w:rPr>
              <w:rFonts w:ascii="Book Antiqua" w:hAnsi="Book Antiqua" w:cs="Times New Roman"/>
              <w:b/>
              <w:sz w:val="32"/>
              <w:szCs w:val="24"/>
            </w:rPr>
            <w:t xml:space="preserve">İL MİLLÎ EĞİTİM MÜDÜRLÜKLERİ </w:t>
          </w:r>
        </w:p>
        <w:p w:rsidR="008D0D2F" w:rsidRDefault="008D0D2F" w:rsidP="008D0D2F">
          <w:pPr>
            <w:spacing w:after="0" w:line="360" w:lineRule="auto"/>
            <w:jc w:val="center"/>
            <w:rPr>
              <w:rFonts w:ascii="Book Antiqua" w:hAnsi="Book Antiqua" w:cs="Times New Roman"/>
              <w:b/>
              <w:sz w:val="32"/>
              <w:szCs w:val="24"/>
            </w:rPr>
          </w:pPr>
          <w:r>
            <w:rPr>
              <w:rFonts w:ascii="Book Antiqua" w:hAnsi="Book Antiqua" w:cs="Times New Roman"/>
              <w:b/>
              <w:sz w:val="32"/>
              <w:szCs w:val="24"/>
            </w:rPr>
            <w:t xml:space="preserve">2018 </w:t>
          </w:r>
          <w:r w:rsidR="002F6969">
            <w:rPr>
              <w:rFonts w:ascii="Book Antiqua" w:hAnsi="Book Antiqua" w:cs="Times New Roman"/>
              <w:b/>
              <w:sz w:val="32"/>
              <w:szCs w:val="24"/>
            </w:rPr>
            <w:t>YILI</w:t>
          </w:r>
        </w:p>
        <w:p w:rsidR="008D0D2F" w:rsidRPr="008D0D2F" w:rsidRDefault="008D0D2F" w:rsidP="00A02B51">
          <w:pPr>
            <w:spacing w:after="0" w:line="360" w:lineRule="auto"/>
            <w:jc w:val="center"/>
            <w:rPr>
              <w:rFonts w:ascii="Book Antiqua" w:hAnsi="Book Antiqua" w:cs="Times New Roman"/>
              <w:b/>
              <w:sz w:val="32"/>
              <w:szCs w:val="24"/>
            </w:rPr>
          </w:pPr>
          <w:r>
            <w:rPr>
              <w:rFonts w:ascii="Book Antiqua" w:hAnsi="Book Antiqua" w:cs="Times New Roman"/>
              <w:b/>
              <w:sz w:val="32"/>
              <w:szCs w:val="24"/>
            </w:rPr>
            <w:t>STRATEJİK PLAN</w:t>
          </w:r>
          <w:r w:rsidRPr="008D0D2F">
            <w:rPr>
              <w:rFonts w:ascii="Book Antiqua" w:hAnsi="Book Antiqua" w:cs="Times New Roman"/>
              <w:b/>
              <w:sz w:val="32"/>
              <w:szCs w:val="24"/>
            </w:rPr>
            <w:t xml:space="preserve"> </w:t>
          </w:r>
          <w:r>
            <w:rPr>
              <w:rFonts w:ascii="Book Antiqua" w:hAnsi="Book Antiqua" w:cs="Times New Roman"/>
              <w:b/>
              <w:sz w:val="32"/>
              <w:szCs w:val="24"/>
            </w:rPr>
            <w:t>İZLEM</w:t>
          </w:r>
          <w:r w:rsidR="00A02B51">
            <w:rPr>
              <w:rFonts w:ascii="Book Antiqua" w:hAnsi="Book Antiqua" w:cs="Times New Roman"/>
              <w:b/>
              <w:sz w:val="32"/>
              <w:szCs w:val="24"/>
            </w:rPr>
            <w:t>E VE DEĞERLENDİRME RAPORLARI HAZIRLAMA KILAVUZU</w:t>
          </w:r>
        </w:p>
        <w:p w:rsidR="008D0D2F" w:rsidRDefault="008D0D2F">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A02B51" w:rsidRDefault="00A02B51">
          <w:pPr>
            <w:pStyle w:val="AralkYok"/>
            <w:rPr>
              <w:rFonts w:asciiTheme="majorHAnsi" w:eastAsiaTheme="majorEastAsia" w:hAnsiTheme="majorHAnsi" w:cstheme="majorBidi"/>
              <w:sz w:val="36"/>
              <w:szCs w:val="36"/>
            </w:rPr>
          </w:pPr>
        </w:p>
        <w:p w:rsidR="00A02B51" w:rsidRDefault="00A02B51">
          <w:pPr>
            <w:pStyle w:val="AralkYok"/>
            <w:rPr>
              <w:rFonts w:asciiTheme="majorHAnsi" w:eastAsiaTheme="majorEastAsia" w:hAnsiTheme="majorHAnsi" w:cstheme="majorBidi"/>
              <w:sz w:val="36"/>
              <w:szCs w:val="36"/>
            </w:rPr>
          </w:pPr>
        </w:p>
        <w:p w:rsidR="00A02B51" w:rsidRDefault="00A02B51">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8D0D2F" w:rsidRDefault="008D0D2F">
          <w:pPr>
            <w:pStyle w:val="AralkYok"/>
            <w:rPr>
              <w:rFonts w:asciiTheme="majorHAnsi" w:eastAsiaTheme="majorEastAsia" w:hAnsiTheme="majorHAnsi" w:cstheme="majorBidi"/>
              <w:sz w:val="36"/>
              <w:szCs w:val="36"/>
            </w:rPr>
          </w:pPr>
        </w:p>
        <w:p w:rsidR="008D0D2F" w:rsidRPr="00DC5761" w:rsidRDefault="008D0D2F" w:rsidP="008D0D2F">
          <w:pPr>
            <w:pStyle w:val="AralkYok"/>
            <w:jc w:val="center"/>
            <w:rPr>
              <w:rFonts w:ascii="Book Antiqua" w:eastAsiaTheme="majorEastAsia" w:hAnsi="Book Antiqua" w:cstheme="majorBidi"/>
              <w:sz w:val="28"/>
              <w:szCs w:val="36"/>
            </w:rPr>
          </w:pPr>
          <w:r w:rsidRPr="00DC5761">
            <w:rPr>
              <w:rFonts w:ascii="Book Antiqua" w:eastAsiaTheme="majorEastAsia" w:hAnsi="Book Antiqua" w:cstheme="majorBidi"/>
              <w:sz w:val="28"/>
              <w:szCs w:val="36"/>
            </w:rPr>
            <w:t>ANKARA, 2019</w:t>
          </w:r>
        </w:p>
        <w:p w:rsidR="003447A9" w:rsidRDefault="003447A9">
          <w:pPr>
            <w:rPr>
              <w:rFonts w:ascii="Times New Roman" w:hAnsi="Times New Roman" w:cs="Times New Roman"/>
              <w:sz w:val="24"/>
            </w:rPr>
          </w:pPr>
          <w:r>
            <w:rPr>
              <w:rFonts w:ascii="Times New Roman" w:hAnsi="Times New Roman" w:cs="Times New Roman"/>
              <w:sz w:val="24"/>
            </w:rPr>
            <w:br w:type="page"/>
          </w:r>
        </w:p>
      </w:sdtContent>
    </w:sdt>
    <w:p w:rsidR="00374281" w:rsidRPr="000A4F72" w:rsidRDefault="00374281" w:rsidP="00374281">
      <w:pPr>
        <w:spacing w:line="360" w:lineRule="auto"/>
        <w:jc w:val="both"/>
        <w:rPr>
          <w:rFonts w:ascii="Book Antiqua" w:hAnsi="Book Antiqua"/>
          <w:sz w:val="24"/>
        </w:rPr>
      </w:pPr>
      <w:r>
        <w:rPr>
          <w:rFonts w:ascii="Book Antiqua" w:hAnsi="Book Antiqua"/>
          <w:sz w:val="24"/>
        </w:rPr>
        <w:lastRenderedPageBreak/>
        <w:t>Bu doküman</w:t>
      </w:r>
      <w:r w:rsidRPr="000A4F72">
        <w:rPr>
          <w:rFonts w:ascii="Book Antiqua" w:hAnsi="Book Antiqua"/>
          <w:sz w:val="24"/>
        </w:rPr>
        <w:t xml:space="preserve"> </w:t>
      </w:r>
      <w:r>
        <w:rPr>
          <w:rFonts w:ascii="Book Antiqua" w:hAnsi="Book Antiqua"/>
          <w:sz w:val="24"/>
        </w:rPr>
        <w:t>il millî eğitim müdürlüklerinin</w:t>
      </w:r>
      <w:r w:rsidRPr="000A4F72">
        <w:rPr>
          <w:rFonts w:ascii="Book Antiqua" w:hAnsi="Book Antiqua"/>
          <w:sz w:val="24"/>
        </w:rPr>
        <w:t xml:space="preserve"> 201</w:t>
      </w:r>
      <w:r>
        <w:rPr>
          <w:rFonts w:ascii="Book Antiqua" w:hAnsi="Book Antiqua"/>
          <w:sz w:val="24"/>
        </w:rPr>
        <w:t>8</w:t>
      </w:r>
      <w:r w:rsidRPr="000A4F72">
        <w:rPr>
          <w:rFonts w:ascii="Book Antiqua" w:hAnsi="Book Antiqua"/>
          <w:sz w:val="24"/>
        </w:rPr>
        <w:t xml:space="preserve"> yılı </w:t>
      </w:r>
      <w:r>
        <w:rPr>
          <w:rFonts w:ascii="Book Antiqua" w:hAnsi="Book Antiqua"/>
          <w:sz w:val="24"/>
        </w:rPr>
        <w:t xml:space="preserve">stratejik plan </w:t>
      </w:r>
      <w:r w:rsidRPr="000A4F72">
        <w:rPr>
          <w:rFonts w:ascii="Book Antiqua" w:hAnsi="Book Antiqua"/>
          <w:sz w:val="24"/>
        </w:rPr>
        <w:t xml:space="preserve">izleme ve değerlendirme </w:t>
      </w:r>
      <w:r>
        <w:rPr>
          <w:rFonts w:ascii="Book Antiqua" w:hAnsi="Book Antiqua"/>
          <w:sz w:val="24"/>
        </w:rPr>
        <w:t>raporlarının hazırlanmasında kılavuzluk sağlamak amacıyla oluşturulmuştur.</w:t>
      </w:r>
    </w:p>
    <w:p w:rsidR="00374281" w:rsidRDefault="00374281" w:rsidP="00374281">
      <w:pPr>
        <w:spacing w:line="360" w:lineRule="auto"/>
        <w:jc w:val="both"/>
      </w:pPr>
    </w:p>
    <w:p w:rsidR="00374281" w:rsidRDefault="00374281" w:rsidP="00374281">
      <w:pPr>
        <w:spacing w:line="360" w:lineRule="auto"/>
        <w:jc w:val="both"/>
      </w:pPr>
    </w:p>
    <w:p w:rsidR="00374281" w:rsidRDefault="00374281" w:rsidP="00374281">
      <w:pPr>
        <w:spacing w:line="360" w:lineRule="auto"/>
        <w:jc w:val="both"/>
      </w:pPr>
    </w:p>
    <w:p w:rsidR="00374281" w:rsidRDefault="00374281" w:rsidP="00374281">
      <w:pPr>
        <w:spacing w:line="360" w:lineRule="auto"/>
        <w:jc w:val="both"/>
      </w:pPr>
    </w:p>
    <w:p w:rsidR="00374281" w:rsidRDefault="00374281" w:rsidP="00374281">
      <w:pPr>
        <w:spacing w:line="360" w:lineRule="auto"/>
        <w:jc w:val="both"/>
      </w:pPr>
    </w:p>
    <w:p w:rsidR="00374281" w:rsidRPr="00374281" w:rsidRDefault="00374281" w:rsidP="00374281">
      <w:pPr>
        <w:spacing w:line="360" w:lineRule="auto"/>
        <w:jc w:val="center"/>
        <w:rPr>
          <w:rFonts w:ascii="Book Antiqua" w:hAnsi="Book Antiqua"/>
          <w:b/>
          <w:sz w:val="28"/>
          <w:szCs w:val="36"/>
        </w:rPr>
      </w:pPr>
      <w:r w:rsidRPr="00374281">
        <w:rPr>
          <w:rFonts w:ascii="Book Antiqua" w:hAnsi="Book Antiqua"/>
          <w:b/>
          <w:sz w:val="28"/>
          <w:szCs w:val="36"/>
        </w:rPr>
        <w:t>Hazırlayanlar</w:t>
      </w:r>
    </w:p>
    <w:p w:rsidR="00374281" w:rsidRPr="009409F8" w:rsidRDefault="00374281" w:rsidP="00374281">
      <w:pPr>
        <w:spacing w:after="0" w:line="360" w:lineRule="auto"/>
        <w:jc w:val="center"/>
        <w:rPr>
          <w:rFonts w:ascii="Book Antiqua" w:hAnsi="Book Antiqua"/>
          <w:sz w:val="24"/>
        </w:rPr>
      </w:pPr>
      <w:r>
        <w:rPr>
          <w:rFonts w:ascii="Book Antiqua" w:hAnsi="Book Antiqua"/>
          <w:sz w:val="24"/>
        </w:rPr>
        <w:t xml:space="preserve">Mehmet Baki ÖZTÜRK </w:t>
      </w:r>
      <w:r w:rsidRPr="00830850">
        <w:rPr>
          <w:rFonts w:ascii="Book Antiqua" w:hAnsi="Book Antiqua"/>
          <w:i/>
          <w:sz w:val="24"/>
        </w:rPr>
        <w:t>Ar-Ge, Kalite ve İzleme Daire Başkanı</w:t>
      </w:r>
    </w:p>
    <w:p w:rsidR="00374281" w:rsidRPr="00830850" w:rsidRDefault="00374281" w:rsidP="00374281">
      <w:pPr>
        <w:spacing w:after="0" w:line="360" w:lineRule="auto"/>
        <w:jc w:val="center"/>
        <w:rPr>
          <w:rFonts w:ascii="Book Antiqua" w:hAnsi="Book Antiqua"/>
          <w:i/>
          <w:sz w:val="24"/>
        </w:rPr>
      </w:pPr>
      <w:r>
        <w:rPr>
          <w:rFonts w:ascii="Book Antiqua" w:hAnsi="Book Antiqua"/>
          <w:sz w:val="24"/>
        </w:rPr>
        <w:t xml:space="preserve">Murat AKKUŞ </w:t>
      </w:r>
      <w:r w:rsidRPr="00830850">
        <w:rPr>
          <w:rFonts w:ascii="Book Antiqua" w:hAnsi="Book Antiqua"/>
          <w:i/>
          <w:sz w:val="24"/>
        </w:rPr>
        <w:t>Millî Eğitim Uzmanı</w:t>
      </w:r>
    </w:p>
    <w:p w:rsidR="00374281" w:rsidRDefault="00374281" w:rsidP="00374281">
      <w:pPr>
        <w:spacing w:after="0" w:line="360" w:lineRule="auto"/>
        <w:jc w:val="center"/>
        <w:rPr>
          <w:rFonts w:ascii="Book Antiqua" w:hAnsi="Book Antiqua"/>
          <w:sz w:val="24"/>
        </w:rPr>
      </w:pPr>
      <w:r>
        <w:rPr>
          <w:rFonts w:ascii="Book Antiqua" w:hAnsi="Book Antiqua"/>
          <w:sz w:val="24"/>
        </w:rPr>
        <w:t xml:space="preserve">Recep AKTAŞ </w:t>
      </w:r>
      <w:r w:rsidRPr="00830850">
        <w:rPr>
          <w:rFonts w:ascii="Book Antiqua" w:hAnsi="Book Antiqua"/>
          <w:i/>
          <w:sz w:val="24"/>
        </w:rPr>
        <w:t>Şef</w:t>
      </w:r>
    </w:p>
    <w:p w:rsidR="00374281" w:rsidRDefault="00374281" w:rsidP="00374281">
      <w:pPr>
        <w:spacing w:after="0" w:line="360" w:lineRule="auto"/>
        <w:jc w:val="center"/>
        <w:rPr>
          <w:rFonts w:ascii="Book Antiqua" w:hAnsi="Book Antiqua"/>
          <w:sz w:val="24"/>
        </w:rPr>
      </w:pPr>
      <w:r>
        <w:rPr>
          <w:rFonts w:ascii="Book Antiqua" w:hAnsi="Book Antiqua"/>
          <w:sz w:val="24"/>
        </w:rPr>
        <w:t xml:space="preserve">Ayşe DİLEKMEN </w:t>
      </w:r>
      <w:r w:rsidRPr="00830850">
        <w:rPr>
          <w:rFonts w:ascii="Book Antiqua" w:hAnsi="Book Antiqua"/>
          <w:i/>
          <w:sz w:val="24"/>
        </w:rPr>
        <w:t>Şef</w:t>
      </w:r>
    </w:p>
    <w:p w:rsidR="00374281" w:rsidRPr="00830850" w:rsidRDefault="00374281" w:rsidP="00374281">
      <w:pPr>
        <w:spacing w:after="0" w:line="360" w:lineRule="auto"/>
        <w:jc w:val="center"/>
        <w:rPr>
          <w:rFonts w:ascii="Book Antiqua" w:hAnsi="Book Antiqua"/>
          <w:sz w:val="24"/>
        </w:rPr>
      </w:pPr>
      <w:r>
        <w:rPr>
          <w:rFonts w:ascii="Book Antiqua" w:hAnsi="Book Antiqua"/>
          <w:sz w:val="24"/>
        </w:rPr>
        <w:t xml:space="preserve">Şermin ARSLAN </w:t>
      </w:r>
      <w:r w:rsidRPr="00830850">
        <w:rPr>
          <w:rFonts w:ascii="Book Antiqua" w:hAnsi="Book Antiqua"/>
          <w:i/>
          <w:sz w:val="24"/>
        </w:rPr>
        <w:t>Bilgisayar İşletmeni</w:t>
      </w:r>
    </w:p>
    <w:p w:rsidR="00374281" w:rsidRDefault="00374281" w:rsidP="00374281">
      <w:pPr>
        <w:spacing w:line="360" w:lineRule="auto"/>
        <w:jc w:val="both"/>
      </w:pPr>
    </w:p>
    <w:p w:rsidR="00374281" w:rsidRDefault="00374281" w:rsidP="00374281">
      <w:pPr>
        <w:spacing w:line="360" w:lineRule="auto"/>
        <w:jc w:val="both"/>
      </w:pPr>
    </w:p>
    <w:p w:rsidR="00374281" w:rsidRDefault="00374281" w:rsidP="00374281">
      <w:pPr>
        <w:spacing w:line="360" w:lineRule="auto"/>
        <w:jc w:val="both"/>
      </w:pPr>
    </w:p>
    <w:p w:rsidR="00374281" w:rsidRDefault="00374281" w:rsidP="00374281">
      <w:pPr>
        <w:spacing w:line="360" w:lineRule="auto"/>
        <w:jc w:val="both"/>
      </w:pPr>
    </w:p>
    <w:p w:rsidR="00374281" w:rsidRDefault="00374281" w:rsidP="00374281">
      <w:pPr>
        <w:spacing w:line="360" w:lineRule="auto"/>
        <w:jc w:val="both"/>
      </w:pPr>
    </w:p>
    <w:p w:rsidR="00374281" w:rsidRDefault="00374281" w:rsidP="00374281">
      <w:pPr>
        <w:spacing w:line="360" w:lineRule="auto"/>
        <w:jc w:val="both"/>
        <w:rPr>
          <w:sz w:val="32"/>
          <w:szCs w:val="32"/>
          <w:u w:val="single"/>
        </w:rPr>
      </w:pPr>
    </w:p>
    <w:p w:rsidR="00374281" w:rsidRPr="00374281" w:rsidRDefault="00374281" w:rsidP="00374281">
      <w:pPr>
        <w:spacing w:after="0" w:line="360" w:lineRule="auto"/>
        <w:jc w:val="center"/>
        <w:rPr>
          <w:rFonts w:ascii="Book Antiqua" w:hAnsi="Book Antiqua"/>
          <w:b/>
          <w:sz w:val="28"/>
          <w:szCs w:val="32"/>
        </w:rPr>
      </w:pPr>
      <w:r w:rsidRPr="00374281">
        <w:rPr>
          <w:rFonts w:ascii="Book Antiqua" w:hAnsi="Book Antiqua"/>
          <w:b/>
          <w:sz w:val="28"/>
          <w:szCs w:val="32"/>
        </w:rPr>
        <w:t>İletişim Bilgileri</w:t>
      </w:r>
    </w:p>
    <w:p w:rsidR="00374281" w:rsidRDefault="00374281" w:rsidP="00374281">
      <w:pPr>
        <w:spacing w:after="0" w:line="360" w:lineRule="auto"/>
        <w:jc w:val="center"/>
        <w:rPr>
          <w:rFonts w:ascii="Book Antiqua" w:hAnsi="Book Antiqua"/>
          <w:sz w:val="24"/>
        </w:rPr>
      </w:pPr>
      <w:r w:rsidRPr="00830850">
        <w:rPr>
          <w:rFonts w:ascii="Book Antiqua" w:hAnsi="Book Antiqua"/>
          <w:sz w:val="24"/>
        </w:rPr>
        <w:t xml:space="preserve">MİLLÎ EĞİTİM BAKANLIĞI </w:t>
      </w:r>
    </w:p>
    <w:p w:rsidR="00374281" w:rsidRDefault="00374281" w:rsidP="00374281">
      <w:pPr>
        <w:spacing w:after="0" w:line="360" w:lineRule="auto"/>
        <w:jc w:val="center"/>
        <w:rPr>
          <w:rFonts w:ascii="Book Antiqua" w:hAnsi="Book Antiqua"/>
          <w:sz w:val="24"/>
        </w:rPr>
      </w:pPr>
      <w:r w:rsidRPr="00830850">
        <w:rPr>
          <w:rFonts w:ascii="Book Antiqua" w:hAnsi="Book Antiqua"/>
          <w:sz w:val="24"/>
        </w:rPr>
        <w:t xml:space="preserve">Strateji Geliştirme Başkanlığı </w:t>
      </w:r>
    </w:p>
    <w:p w:rsidR="00374281" w:rsidRPr="00830850" w:rsidRDefault="00374281" w:rsidP="00374281">
      <w:pPr>
        <w:spacing w:after="0" w:line="360" w:lineRule="auto"/>
        <w:jc w:val="center"/>
        <w:rPr>
          <w:rFonts w:ascii="Book Antiqua" w:hAnsi="Book Antiqua"/>
          <w:sz w:val="24"/>
        </w:rPr>
      </w:pPr>
      <w:r w:rsidRPr="00830850">
        <w:rPr>
          <w:rFonts w:ascii="Book Antiqua" w:hAnsi="Book Antiqua"/>
          <w:sz w:val="24"/>
        </w:rPr>
        <w:t>Ar-Ge, Kalite ve İzleme Daire Başkanlığı</w:t>
      </w:r>
    </w:p>
    <w:p w:rsidR="00374281" w:rsidRPr="00830850" w:rsidRDefault="00374281" w:rsidP="00374281">
      <w:pPr>
        <w:spacing w:after="0" w:line="360" w:lineRule="auto"/>
        <w:jc w:val="center"/>
        <w:rPr>
          <w:rFonts w:ascii="Book Antiqua" w:hAnsi="Book Antiqua"/>
          <w:sz w:val="24"/>
        </w:rPr>
      </w:pPr>
      <w:r w:rsidRPr="00830850">
        <w:rPr>
          <w:rFonts w:ascii="Book Antiqua" w:hAnsi="Book Antiqua"/>
          <w:sz w:val="24"/>
        </w:rPr>
        <w:t>Atatürk Bulvarı No:98 4. Kat A-B Blok Bakanlıklar/ANKARA</w:t>
      </w:r>
    </w:p>
    <w:p w:rsidR="00374281" w:rsidRPr="00830850" w:rsidRDefault="00374281" w:rsidP="00374281">
      <w:pPr>
        <w:spacing w:after="0" w:line="360" w:lineRule="auto"/>
        <w:jc w:val="center"/>
        <w:rPr>
          <w:rFonts w:ascii="Book Antiqua" w:hAnsi="Book Antiqua"/>
          <w:sz w:val="24"/>
        </w:rPr>
      </w:pPr>
      <w:r w:rsidRPr="00830850">
        <w:rPr>
          <w:rFonts w:ascii="Book Antiqua" w:hAnsi="Book Antiqua"/>
          <w:sz w:val="24"/>
        </w:rPr>
        <w:t>0312 413 1812/1466</w:t>
      </w:r>
    </w:p>
    <w:p w:rsidR="00374281" w:rsidRPr="00B03103" w:rsidRDefault="00374281" w:rsidP="00374281">
      <w:pPr>
        <w:spacing w:after="0" w:line="360" w:lineRule="auto"/>
        <w:jc w:val="center"/>
        <w:rPr>
          <w:rFonts w:ascii="Book Antiqua" w:hAnsi="Book Antiqua"/>
          <w:b/>
          <w:sz w:val="24"/>
        </w:rPr>
        <w:sectPr w:rsidR="00374281" w:rsidRPr="00B03103" w:rsidSect="00064EA8">
          <w:footerReference w:type="default" r:id="rId9"/>
          <w:footerReference w:type="first" r:id="rId10"/>
          <w:pgSz w:w="11906" w:h="16838"/>
          <w:pgMar w:top="1417" w:right="1417" w:bottom="1417" w:left="1417" w:header="708" w:footer="708" w:gutter="0"/>
          <w:pgNumType w:fmt="lowerRoman" w:start="0"/>
          <w:cols w:space="708"/>
          <w:titlePg/>
          <w:docGrid w:linePitch="360"/>
        </w:sectPr>
      </w:pPr>
      <w:r w:rsidRPr="00B03103">
        <w:rPr>
          <w:rFonts w:ascii="Book Antiqua" w:hAnsi="Book Antiqua"/>
          <w:b/>
          <w:sz w:val="24"/>
        </w:rPr>
        <w:t>sgb_izlemedegerlendirme@meb.gov.tr</w:t>
      </w:r>
    </w:p>
    <w:p w:rsidR="00B03103" w:rsidRDefault="0068075E" w:rsidP="000A3BE5">
      <w:pPr>
        <w:spacing w:after="0" w:line="360" w:lineRule="auto"/>
        <w:jc w:val="center"/>
        <w:rPr>
          <w:rFonts w:ascii="Book Antiqua" w:hAnsi="Book Antiqua" w:cs="Times New Roman"/>
          <w:b/>
          <w:color w:val="0070C0"/>
          <w:sz w:val="24"/>
          <w:szCs w:val="24"/>
        </w:rPr>
      </w:pPr>
      <w:r w:rsidRPr="00F325E5">
        <w:rPr>
          <w:rFonts w:ascii="Book Antiqua" w:hAnsi="Book Antiqua" w:cs="Times New Roman"/>
          <w:b/>
          <w:color w:val="0070C0"/>
          <w:sz w:val="24"/>
          <w:szCs w:val="24"/>
        </w:rPr>
        <w:lastRenderedPageBreak/>
        <w:t xml:space="preserve">İL MİLLÎ EĞİTİM MÜDÜRLÜKLERİ STRATEJİK PLANLARININ </w:t>
      </w:r>
      <w:r w:rsidR="000A3BE5" w:rsidRPr="00F325E5">
        <w:rPr>
          <w:rFonts w:ascii="Book Antiqua" w:hAnsi="Book Antiqua" w:cs="Times New Roman"/>
          <w:b/>
          <w:color w:val="0070C0"/>
          <w:sz w:val="24"/>
          <w:szCs w:val="24"/>
        </w:rPr>
        <w:t>İZLENMESİNDE VE DEĞERLENDİRİLMESİNDE</w:t>
      </w:r>
      <w:r w:rsidRPr="00F325E5">
        <w:rPr>
          <w:rFonts w:ascii="Book Antiqua" w:hAnsi="Book Antiqua" w:cs="Times New Roman"/>
          <w:b/>
          <w:color w:val="0070C0"/>
          <w:sz w:val="24"/>
          <w:szCs w:val="24"/>
        </w:rPr>
        <w:t xml:space="preserve"> </w:t>
      </w:r>
    </w:p>
    <w:p w:rsidR="008F1078" w:rsidRPr="00F325E5" w:rsidRDefault="000A3BE5" w:rsidP="00B03103">
      <w:pPr>
        <w:spacing w:after="0" w:line="360" w:lineRule="auto"/>
        <w:jc w:val="center"/>
        <w:rPr>
          <w:rFonts w:ascii="Book Antiqua" w:hAnsi="Book Antiqua" w:cs="Times New Roman"/>
          <w:b/>
          <w:color w:val="0070C0"/>
          <w:sz w:val="24"/>
          <w:szCs w:val="24"/>
        </w:rPr>
      </w:pPr>
      <w:r w:rsidRPr="00F325E5">
        <w:rPr>
          <w:rFonts w:ascii="Book Antiqua" w:hAnsi="Book Antiqua" w:cs="Times New Roman"/>
          <w:b/>
          <w:color w:val="0070C0"/>
          <w:sz w:val="24"/>
          <w:szCs w:val="24"/>
        </w:rPr>
        <w:t>DİKKAT EDİLECEK</w:t>
      </w:r>
      <w:r w:rsidR="0068075E" w:rsidRPr="00F325E5">
        <w:rPr>
          <w:rFonts w:ascii="Book Antiqua" w:hAnsi="Book Antiqua" w:cs="Times New Roman"/>
          <w:b/>
          <w:color w:val="0070C0"/>
          <w:sz w:val="24"/>
          <w:szCs w:val="24"/>
        </w:rPr>
        <w:t xml:space="preserve"> USUL VE ESASLAR</w:t>
      </w:r>
    </w:p>
    <w:p w:rsidR="008D0D2F" w:rsidRDefault="008D0D2F" w:rsidP="006B6AD2">
      <w:pPr>
        <w:spacing w:before="240" w:line="360" w:lineRule="auto"/>
        <w:ind w:firstLine="708"/>
        <w:jc w:val="both"/>
        <w:rPr>
          <w:rFonts w:ascii="Book Antiqua" w:hAnsi="Book Antiqua" w:cs="Times New Roman"/>
          <w:sz w:val="24"/>
        </w:rPr>
      </w:pPr>
      <w:r>
        <w:rPr>
          <w:rFonts w:ascii="Book Antiqua" w:hAnsi="Book Antiqua" w:cs="Times New Roman"/>
          <w:sz w:val="24"/>
        </w:rPr>
        <w:t xml:space="preserve">Bu </w:t>
      </w:r>
      <w:r w:rsidR="00F504AE">
        <w:rPr>
          <w:rFonts w:ascii="Book Antiqua" w:hAnsi="Book Antiqua" w:cs="Times New Roman"/>
          <w:sz w:val="24"/>
        </w:rPr>
        <w:t>kılavuz</w:t>
      </w:r>
      <w:r>
        <w:rPr>
          <w:rFonts w:ascii="Book Antiqua" w:hAnsi="Book Antiqua" w:cs="Times New Roman"/>
          <w:sz w:val="24"/>
        </w:rPr>
        <w:t xml:space="preserve"> il millî eğitim müdürlüklerinin 2018 yılı stratejik plan izleme ve değerlendirme raporlarının hazırlanma sürecine yön vermek amacı ile hazırlanmıştır. </w:t>
      </w:r>
      <w:r w:rsidR="00A34986">
        <w:rPr>
          <w:rFonts w:ascii="Book Antiqua" w:hAnsi="Book Antiqua" w:cs="Times New Roman"/>
          <w:sz w:val="24"/>
        </w:rPr>
        <w:t>Raporlar</w:t>
      </w:r>
      <w:r>
        <w:rPr>
          <w:rFonts w:ascii="Book Antiqua" w:hAnsi="Book Antiqua" w:cs="Times New Roman"/>
          <w:sz w:val="24"/>
        </w:rPr>
        <w:t xml:space="preserve"> hazırlanmadan önce</w:t>
      </w:r>
      <w:r w:rsidR="00A34986">
        <w:rPr>
          <w:rFonts w:ascii="Book Antiqua" w:hAnsi="Book Antiqua" w:cs="Times New Roman"/>
          <w:sz w:val="24"/>
        </w:rPr>
        <w:t xml:space="preserve"> kılavuzun dikkatle okunması karşılaşılabilecek güçlükleri en aza indirecektir.</w:t>
      </w:r>
    </w:p>
    <w:p w:rsidR="008D0D2F" w:rsidRPr="00F325E5" w:rsidRDefault="008D0D2F" w:rsidP="008D0D2F">
      <w:pPr>
        <w:spacing w:before="240" w:line="360" w:lineRule="auto"/>
        <w:jc w:val="center"/>
        <w:rPr>
          <w:rFonts w:ascii="Book Antiqua" w:hAnsi="Book Antiqua" w:cs="Times New Roman"/>
          <w:b/>
          <w:color w:val="0070C0"/>
          <w:sz w:val="24"/>
        </w:rPr>
      </w:pPr>
      <w:r w:rsidRPr="00F325E5">
        <w:rPr>
          <w:rFonts w:ascii="Book Antiqua" w:hAnsi="Book Antiqua" w:cs="Times New Roman"/>
          <w:b/>
          <w:color w:val="0070C0"/>
          <w:sz w:val="24"/>
        </w:rPr>
        <w:t>Giriş</w:t>
      </w:r>
    </w:p>
    <w:p w:rsidR="006B6AD2" w:rsidRPr="008D0D2F" w:rsidRDefault="006B6AD2" w:rsidP="006B6AD2">
      <w:pPr>
        <w:spacing w:before="240" w:line="360" w:lineRule="auto"/>
        <w:ind w:firstLine="708"/>
        <w:jc w:val="both"/>
        <w:rPr>
          <w:rFonts w:ascii="Book Antiqua" w:hAnsi="Book Antiqua" w:cs="Times New Roman"/>
          <w:sz w:val="24"/>
        </w:rPr>
      </w:pPr>
      <w:r w:rsidRPr="008D0D2F">
        <w:rPr>
          <w:rFonts w:ascii="Book Antiqua" w:hAnsi="Book Antiqua" w:cs="Times New Roman"/>
          <w:sz w:val="24"/>
        </w:rPr>
        <w:t xml:space="preserve">5018 sayılı Kamu Mali Yönetimi ve Kontrol Kanunu’nun amaçlarından biri makro planlarda yer alan politika ve hedefler doğrultusunda kamu kaynaklarının etkili, ekonomik ve verimli bir şekilde elde edilmesi ve kullanılmasını, hesap verebilirliği ve malî saydamlığı sağlamak üzere, kamu malî yönetiminin yapısını ve işleyişini düzenlemektir. Bu amacı gerçekleştirebilmek üzere kamu yönetimi sistemimizde birçok düzenleme gerçekleştirilmiş olup bunlardan biri de stratejik planlama uygulamalarıdır. </w:t>
      </w:r>
    </w:p>
    <w:p w:rsidR="006B6AD2" w:rsidRPr="008D0D2F" w:rsidRDefault="006B6AD2" w:rsidP="006B6AD2">
      <w:pPr>
        <w:spacing w:before="240" w:line="360" w:lineRule="auto"/>
        <w:ind w:firstLine="708"/>
        <w:jc w:val="both"/>
        <w:rPr>
          <w:rFonts w:ascii="Book Antiqua" w:hAnsi="Book Antiqua" w:cs="Times New Roman"/>
          <w:sz w:val="24"/>
        </w:rPr>
      </w:pPr>
      <w:r w:rsidRPr="008D0D2F">
        <w:rPr>
          <w:rFonts w:ascii="Book Antiqua" w:hAnsi="Book Antiqua" w:cs="Times New Roman"/>
          <w:sz w:val="24"/>
        </w:rPr>
        <w:t xml:space="preserve">Stratejik planlar vasıtasıyla, kamu idarelerinin, kalkınma planları, programlar, ilgili mevzuat ve benimsedikleri temel ilkeler çerçevesinde geleceğe ilişkin </w:t>
      </w:r>
      <w:proofErr w:type="gramStart"/>
      <w:r w:rsidRPr="008D0D2F">
        <w:rPr>
          <w:rFonts w:ascii="Book Antiqua" w:hAnsi="Book Antiqua" w:cs="Times New Roman"/>
          <w:sz w:val="24"/>
        </w:rPr>
        <w:t>misyon</w:t>
      </w:r>
      <w:proofErr w:type="gramEnd"/>
      <w:r w:rsidRPr="008D0D2F">
        <w:rPr>
          <w:rFonts w:ascii="Book Antiqua" w:hAnsi="Book Antiqua" w:cs="Times New Roman"/>
          <w:sz w:val="24"/>
        </w:rPr>
        <w:t xml:space="preserve"> ve vizyonlarını oluşturması, stratejik amaçlar ve ölçülebilir hedefler saptaması, performanslarını önceden belirlenmiş olan göstergeler doğrultusunda ölçmesi ve bu sürecin izleme ve değerlendirmesini yapmaları gerekmektedir. Buna uygun olarak il milli eğitim müdürlükleri de kalkınma planları, MEB 2015-2019 Stratejik Planı ve diğer üst politika metinlerinde yer alan politika ve hedefler doğrultusunda, 2015–2019 stratejik planlarını hazırlamışlardır.</w:t>
      </w:r>
    </w:p>
    <w:p w:rsidR="00456BEF" w:rsidRPr="00F325E5" w:rsidRDefault="00D55B9F" w:rsidP="00456BEF">
      <w:pPr>
        <w:spacing w:before="240" w:line="360" w:lineRule="auto"/>
        <w:jc w:val="both"/>
        <w:rPr>
          <w:rFonts w:ascii="Book Antiqua" w:hAnsi="Book Antiqua" w:cs="Times New Roman"/>
          <w:b/>
          <w:color w:val="0070C0"/>
          <w:sz w:val="24"/>
        </w:rPr>
      </w:pPr>
      <w:r>
        <w:rPr>
          <w:rFonts w:ascii="Book Antiqua" w:hAnsi="Book Antiqua" w:cs="Times New Roman"/>
          <w:b/>
          <w:color w:val="0070C0"/>
          <w:sz w:val="24"/>
        </w:rPr>
        <w:t xml:space="preserve">2023 Eğitim </w:t>
      </w:r>
      <w:proofErr w:type="spellStart"/>
      <w:r>
        <w:rPr>
          <w:rFonts w:ascii="Book Antiqua" w:hAnsi="Book Antiqua" w:cs="Times New Roman"/>
          <w:b/>
          <w:color w:val="0070C0"/>
          <w:sz w:val="24"/>
        </w:rPr>
        <w:t>Vizyonu’nda</w:t>
      </w:r>
      <w:proofErr w:type="spellEnd"/>
      <w:r>
        <w:rPr>
          <w:rFonts w:ascii="Book Antiqua" w:hAnsi="Book Antiqua" w:cs="Times New Roman"/>
          <w:b/>
          <w:color w:val="0070C0"/>
          <w:sz w:val="24"/>
        </w:rPr>
        <w:t xml:space="preserve"> İzleme ve Değerlendirme</w:t>
      </w:r>
    </w:p>
    <w:p w:rsidR="00456BEF" w:rsidRPr="00456BEF" w:rsidRDefault="00456BEF" w:rsidP="00456BEF">
      <w:pPr>
        <w:spacing w:before="240" w:line="360" w:lineRule="auto"/>
        <w:ind w:firstLine="708"/>
        <w:jc w:val="both"/>
        <w:rPr>
          <w:rFonts w:ascii="Book Antiqua" w:hAnsi="Book Antiqua" w:cs="Times New Roman"/>
          <w:sz w:val="24"/>
        </w:rPr>
      </w:pPr>
      <w:r w:rsidRPr="00456BEF">
        <w:rPr>
          <w:rFonts w:ascii="Book Antiqua" w:hAnsi="Book Antiqua" w:cs="Times New Roman"/>
          <w:sz w:val="24"/>
        </w:rPr>
        <w:t xml:space="preserve">Stratejik planlarda yer alan amaç ve hedeflerin gerçekleştirilmesine ilişkin gelişmelerin belirli bir sıklıkla raporlanması ve ilgili tarafların değerlendirmesine sunulması, izleme faaliyetlerinin düzenli bir şekilde yapılması ile mümkün olmaktadır. İzleme ve değerlendirme faaliyetleri sayesinde idarenin iyileşmeye açık </w:t>
      </w:r>
      <w:r w:rsidRPr="00456BEF">
        <w:rPr>
          <w:rFonts w:ascii="Book Antiqua" w:hAnsi="Book Antiqua" w:cs="Times New Roman"/>
          <w:sz w:val="24"/>
        </w:rPr>
        <w:lastRenderedPageBreak/>
        <w:t xml:space="preserve">alanlarını tespit etmesi ve buna yönelik politikalar geliştirmesi, faaliyet alanlarındaki kaynak tahsisini gözden geçirerek daha rasyonel </w:t>
      </w:r>
      <w:proofErr w:type="spellStart"/>
      <w:r w:rsidRPr="00456BEF">
        <w:rPr>
          <w:rFonts w:ascii="Book Antiqua" w:hAnsi="Book Antiqua" w:cs="Times New Roman"/>
          <w:sz w:val="24"/>
        </w:rPr>
        <w:t>önceliklendirmeler</w:t>
      </w:r>
      <w:proofErr w:type="spellEnd"/>
      <w:r w:rsidRPr="00456BEF">
        <w:rPr>
          <w:rFonts w:ascii="Book Antiqua" w:hAnsi="Book Antiqua" w:cs="Times New Roman"/>
          <w:sz w:val="24"/>
        </w:rPr>
        <w:t xml:space="preserve"> yapabilmesi mümkündür. İzleme ve değerlendirme faaliyetleri, veriye dayalı politika geliştirme kültürünün yaygınlaşmasının da önemli bir aracıdır.</w:t>
      </w:r>
    </w:p>
    <w:p w:rsidR="008D0D2F" w:rsidRDefault="00456BEF" w:rsidP="00456BEF">
      <w:pPr>
        <w:spacing w:before="240" w:line="360" w:lineRule="auto"/>
        <w:ind w:firstLine="708"/>
        <w:jc w:val="both"/>
        <w:rPr>
          <w:rFonts w:ascii="Book Antiqua" w:hAnsi="Book Antiqua" w:cs="Times New Roman"/>
          <w:sz w:val="24"/>
        </w:rPr>
      </w:pPr>
      <w:r w:rsidRPr="00456BEF">
        <w:rPr>
          <w:rFonts w:ascii="Book Antiqua" w:hAnsi="Book Antiqua" w:cs="Times New Roman"/>
          <w:sz w:val="24"/>
        </w:rPr>
        <w:t xml:space="preserve">Veriye dayalı karar alma vurgusu 2023 Eğitim </w:t>
      </w:r>
      <w:proofErr w:type="spellStart"/>
      <w:r w:rsidRPr="00456BEF">
        <w:rPr>
          <w:rFonts w:ascii="Book Antiqua" w:hAnsi="Book Antiqua" w:cs="Times New Roman"/>
          <w:sz w:val="24"/>
        </w:rPr>
        <w:t>Vizyonu’nda</w:t>
      </w:r>
      <w:proofErr w:type="spellEnd"/>
      <w:r w:rsidRPr="00456BEF">
        <w:rPr>
          <w:rFonts w:ascii="Book Antiqua" w:hAnsi="Book Antiqua" w:cs="Times New Roman"/>
          <w:sz w:val="24"/>
        </w:rPr>
        <w:t xml:space="preserve"> da önemli bir yer edinmektedir. Öğrenme Analitiği Araçlarıyla Veriye Dayalı Yönetim temasında yer alan “Bakanlığın Tüm Kararları Veriye Dayalı Hâle Gelecek” hedefinin hayat bulmasında izleme ve değerlendirme uygulamaları yadsınamaz bir öneme sahiptir.</w:t>
      </w:r>
      <w:r>
        <w:rPr>
          <w:rFonts w:ascii="Book Antiqua" w:hAnsi="Book Antiqua" w:cs="Times New Roman"/>
          <w:sz w:val="24"/>
        </w:rPr>
        <w:t xml:space="preserve"> Bu bağlamda i</w:t>
      </w:r>
      <w:r w:rsidR="008D0D2F" w:rsidRPr="008D0D2F">
        <w:rPr>
          <w:rFonts w:ascii="Book Antiqua" w:hAnsi="Book Antiqua" w:cs="Times New Roman"/>
          <w:sz w:val="24"/>
        </w:rPr>
        <w:t>zleme ve değerlendirme uygulamalarının önemine</w:t>
      </w:r>
      <w:r w:rsidR="008D0D2F">
        <w:rPr>
          <w:rFonts w:ascii="Book Antiqua" w:hAnsi="Book Antiqua" w:cs="Times New Roman"/>
          <w:b/>
          <w:sz w:val="24"/>
        </w:rPr>
        <w:t xml:space="preserve"> 2023 Eğitim </w:t>
      </w:r>
      <w:proofErr w:type="spellStart"/>
      <w:r w:rsidR="008D0D2F">
        <w:rPr>
          <w:rFonts w:ascii="Book Antiqua" w:hAnsi="Book Antiqua" w:cs="Times New Roman"/>
          <w:b/>
          <w:sz w:val="24"/>
        </w:rPr>
        <w:t>Vizyonu’</w:t>
      </w:r>
      <w:r w:rsidR="008D0D2F" w:rsidRPr="008D0D2F">
        <w:rPr>
          <w:rFonts w:ascii="Book Antiqua" w:hAnsi="Book Antiqua" w:cs="Times New Roman"/>
          <w:sz w:val="24"/>
        </w:rPr>
        <w:t>nda</w:t>
      </w:r>
      <w:proofErr w:type="spellEnd"/>
      <w:r w:rsidR="008D0D2F" w:rsidRPr="008D0D2F">
        <w:rPr>
          <w:rFonts w:ascii="Book Antiqua" w:hAnsi="Book Antiqua" w:cs="Times New Roman"/>
          <w:sz w:val="24"/>
        </w:rPr>
        <w:t xml:space="preserve"> da </w:t>
      </w:r>
      <w:r w:rsidR="00B03103">
        <w:rPr>
          <w:rFonts w:ascii="Book Antiqua" w:hAnsi="Book Antiqua" w:cs="Times New Roman"/>
          <w:sz w:val="24"/>
        </w:rPr>
        <w:t xml:space="preserve">belirgin biçimde </w:t>
      </w:r>
      <w:r w:rsidR="008D0D2F" w:rsidRPr="008D0D2F">
        <w:rPr>
          <w:rFonts w:ascii="Book Antiqua" w:hAnsi="Book Antiqua" w:cs="Times New Roman"/>
          <w:sz w:val="24"/>
        </w:rPr>
        <w:t>değinil</w:t>
      </w:r>
      <w:r>
        <w:rPr>
          <w:rFonts w:ascii="Book Antiqua" w:hAnsi="Book Antiqua" w:cs="Times New Roman"/>
          <w:sz w:val="24"/>
        </w:rPr>
        <w:t>diği görülmektedir.</w:t>
      </w:r>
    </w:p>
    <w:p w:rsidR="00456BEF" w:rsidRPr="00F325E5" w:rsidRDefault="00456BEF" w:rsidP="00456BEF">
      <w:pPr>
        <w:spacing w:before="240" w:line="360" w:lineRule="auto"/>
        <w:jc w:val="both"/>
        <w:rPr>
          <w:rFonts w:ascii="Book Antiqua" w:hAnsi="Book Antiqua" w:cs="Times New Roman"/>
          <w:b/>
          <w:color w:val="0070C0"/>
          <w:sz w:val="24"/>
        </w:rPr>
      </w:pPr>
      <w:r w:rsidRPr="00F325E5">
        <w:rPr>
          <w:rFonts w:ascii="Book Antiqua" w:hAnsi="Book Antiqua" w:cs="Times New Roman"/>
          <w:b/>
          <w:color w:val="0070C0"/>
          <w:sz w:val="24"/>
        </w:rPr>
        <w:t>Stratejik Pla</w:t>
      </w:r>
      <w:r w:rsidR="00F325E5">
        <w:rPr>
          <w:rFonts w:ascii="Book Antiqua" w:hAnsi="Book Antiqua" w:cs="Times New Roman"/>
          <w:b/>
          <w:color w:val="0070C0"/>
          <w:sz w:val="24"/>
        </w:rPr>
        <w:t>n</w:t>
      </w:r>
      <w:r w:rsidRPr="00F325E5">
        <w:rPr>
          <w:rFonts w:ascii="Book Antiqua" w:hAnsi="Book Antiqua" w:cs="Times New Roman"/>
          <w:b/>
          <w:color w:val="0070C0"/>
          <w:sz w:val="24"/>
        </w:rPr>
        <w:t xml:space="preserve"> İzleme ve Değerlendirme Modeli </w:t>
      </w:r>
    </w:p>
    <w:p w:rsidR="00F325E5" w:rsidRDefault="00F325E5" w:rsidP="006B6AD2">
      <w:pPr>
        <w:spacing w:before="240" w:line="360" w:lineRule="auto"/>
        <w:ind w:firstLine="708"/>
        <w:jc w:val="both"/>
        <w:rPr>
          <w:rFonts w:ascii="Book Antiqua" w:hAnsi="Book Antiqua" w:cs="Times New Roman"/>
          <w:sz w:val="24"/>
        </w:rPr>
      </w:pPr>
      <w:r w:rsidRPr="00F325E5">
        <w:rPr>
          <w:rFonts w:ascii="Book Antiqua" w:hAnsi="Book Antiqua" w:cs="Times New Roman"/>
          <w:sz w:val="24"/>
        </w:rPr>
        <w:t xml:space="preserve">2015 yılında yürürlüğe giren il milli eğitim müdürlükleri stratejik planları; stratejik plan hazırlık süreci, durum analizi, geleceğe yönelim, </w:t>
      </w:r>
      <w:proofErr w:type="spellStart"/>
      <w:r w:rsidRPr="00F325E5">
        <w:rPr>
          <w:rFonts w:ascii="Book Antiqua" w:hAnsi="Book Antiqua" w:cs="Times New Roman"/>
          <w:sz w:val="24"/>
        </w:rPr>
        <w:t>maliyetlendirme</w:t>
      </w:r>
      <w:proofErr w:type="spellEnd"/>
      <w:r w:rsidRPr="00F325E5">
        <w:rPr>
          <w:rFonts w:ascii="Book Antiqua" w:hAnsi="Book Antiqua" w:cs="Times New Roman"/>
          <w:sz w:val="24"/>
        </w:rPr>
        <w:t xml:space="preserve"> ile izleme ve değerlendirme olmak üzere beş bölümden oluşmaktadır. Bunlardan izleme ve değerlendirme faaliyetlerine temel teşkil eden stratejik amaç, stratejik hedef, performans göstergesi ve stratejilerin yer aldığı geleceğe yönelim bölümleri MEB 2015-2019 Stratejik Planı ile benzer bir yaklaşımla; eğitim ve öğretim erişim, eğitim ve öğretimde kalite ve kurumsal kapasite olmak üzere üç tema halinde yapılandırılmıştır.</w:t>
      </w:r>
    </w:p>
    <w:p w:rsidR="00456BEF" w:rsidRDefault="00456BEF" w:rsidP="006B6AD2">
      <w:pPr>
        <w:spacing w:before="240" w:line="360" w:lineRule="auto"/>
        <w:ind w:firstLine="708"/>
        <w:jc w:val="both"/>
        <w:rPr>
          <w:rFonts w:ascii="Book Antiqua" w:hAnsi="Book Antiqua" w:cs="Times New Roman"/>
          <w:sz w:val="24"/>
        </w:rPr>
      </w:pPr>
      <w:r w:rsidRPr="00456BEF">
        <w:rPr>
          <w:rFonts w:ascii="Book Antiqua" w:hAnsi="Book Antiqua" w:cs="Times New Roman"/>
          <w:sz w:val="24"/>
        </w:rPr>
        <w:t xml:space="preserve">Millî Eğitim Bakanlığı Stratejik Planı İzleme ve Değerlendirme </w:t>
      </w:r>
      <w:proofErr w:type="spellStart"/>
      <w:r w:rsidRPr="00456BEF">
        <w:rPr>
          <w:rFonts w:ascii="Book Antiqua" w:hAnsi="Book Antiqua" w:cs="Times New Roman"/>
          <w:sz w:val="24"/>
        </w:rPr>
        <w:t>Modeli’nin</w:t>
      </w:r>
      <w:proofErr w:type="spellEnd"/>
      <w:r w:rsidRPr="00456BEF">
        <w:rPr>
          <w:rFonts w:ascii="Book Antiqua" w:hAnsi="Book Antiqua" w:cs="Times New Roman"/>
          <w:sz w:val="24"/>
        </w:rPr>
        <w:t xml:space="preserve"> çerçevesini; performans göstergelerinin ve stratejiler kapsamında gerçekleştirilen faaliyetlerin gerçekleşme durumlarının tespit edilmesi, hedeflerle kıyaslanması, sonuçların raporlanması ve paydaşlarla paylaşımı, güncelleme dâhil gerekli tedbirlerin alınması süreçleri oluşturmaktadır. Stratejik Planda yer alan performans göstergelerinin ve stratejilerin gerçekleşme durumlarının tespiti yılda iki kez yapılmaktadır. Yılın ilk altı aylık dönemini kapsayan birinci izleme kapsamında, </w:t>
      </w:r>
      <w:r>
        <w:rPr>
          <w:rFonts w:ascii="Book Antiqua" w:hAnsi="Book Antiqua" w:cs="Times New Roman"/>
          <w:sz w:val="24"/>
        </w:rPr>
        <w:t>strateji geliştirme birimleri</w:t>
      </w:r>
      <w:r w:rsidRPr="00456BEF">
        <w:rPr>
          <w:rFonts w:ascii="Book Antiqua" w:hAnsi="Book Antiqua" w:cs="Times New Roman"/>
          <w:sz w:val="24"/>
        </w:rPr>
        <w:t xml:space="preserve"> tarafından </w:t>
      </w:r>
      <w:r>
        <w:rPr>
          <w:rFonts w:ascii="Book Antiqua" w:hAnsi="Book Antiqua" w:cs="Times New Roman"/>
          <w:sz w:val="24"/>
        </w:rPr>
        <w:t>birimler</w:t>
      </w:r>
      <w:r w:rsidRPr="00456BEF">
        <w:rPr>
          <w:rFonts w:ascii="Book Antiqua" w:hAnsi="Book Antiqua" w:cs="Times New Roman"/>
          <w:sz w:val="24"/>
        </w:rPr>
        <w:t xml:space="preserve">den sorumlu oldukları göstergeler ve stratejiler ile ilgili gerçekleşme durumlarına ilişkin veriler toplanarak </w:t>
      </w:r>
      <w:proofErr w:type="gramStart"/>
      <w:r w:rsidRPr="00456BEF">
        <w:rPr>
          <w:rFonts w:ascii="Book Antiqua" w:hAnsi="Book Antiqua" w:cs="Times New Roman"/>
          <w:sz w:val="24"/>
        </w:rPr>
        <w:t>konsolide</w:t>
      </w:r>
      <w:proofErr w:type="gramEnd"/>
      <w:r w:rsidRPr="00456BEF">
        <w:rPr>
          <w:rFonts w:ascii="Book Antiqua" w:hAnsi="Book Antiqua" w:cs="Times New Roman"/>
          <w:sz w:val="24"/>
        </w:rPr>
        <w:t xml:space="preserve"> edilmektedir. Göstergelerin ve stratejilerin gerçekleşme durumları hakkında </w:t>
      </w:r>
      <w:r w:rsidRPr="00456BEF">
        <w:rPr>
          <w:rFonts w:ascii="Book Antiqua" w:hAnsi="Book Antiqua" w:cs="Times New Roman"/>
          <w:sz w:val="24"/>
        </w:rPr>
        <w:lastRenderedPageBreak/>
        <w:t xml:space="preserve">hazırlanan rapor ile göstergelerdeki yıllık hedeflere ulaşılmasını sağlamak üzere gerekli görülebilecek tedbirlerin alınmasına çalışılmaktadır. </w:t>
      </w:r>
    </w:p>
    <w:p w:rsidR="00456BEF" w:rsidRDefault="00456BEF" w:rsidP="006B6AD2">
      <w:pPr>
        <w:spacing w:before="240" w:line="360" w:lineRule="auto"/>
        <w:ind w:firstLine="708"/>
        <w:jc w:val="both"/>
        <w:rPr>
          <w:rFonts w:ascii="Book Antiqua" w:hAnsi="Book Antiqua" w:cs="Times New Roman"/>
          <w:sz w:val="24"/>
        </w:rPr>
      </w:pPr>
      <w:r w:rsidRPr="00456BEF">
        <w:rPr>
          <w:rFonts w:ascii="Book Antiqua" w:hAnsi="Book Antiqua" w:cs="Times New Roman"/>
          <w:sz w:val="24"/>
        </w:rPr>
        <w:t>Yılın tamamını kapsayan ikinci izleme dâhilinde</w:t>
      </w:r>
      <w:r>
        <w:rPr>
          <w:rFonts w:ascii="Book Antiqua" w:hAnsi="Book Antiqua" w:cs="Times New Roman"/>
          <w:sz w:val="24"/>
        </w:rPr>
        <w:t>,</w:t>
      </w:r>
      <w:r w:rsidRPr="00456BEF">
        <w:rPr>
          <w:rFonts w:ascii="Book Antiqua" w:hAnsi="Book Antiqua" w:cs="Times New Roman"/>
          <w:sz w:val="24"/>
        </w:rPr>
        <w:t xml:space="preserve"> </w:t>
      </w:r>
      <w:r>
        <w:rPr>
          <w:rFonts w:ascii="Book Antiqua" w:hAnsi="Book Antiqua" w:cs="Times New Roman"/>
          <w:sz w:val="24"/>
        </w:rPr>
        <w:t>strateji geliştirme birimleri</w:t>
      </w:r>
      <w:r w:rsidRPr="00456BEF">
        <w:rPr>
          <w:rFonts w:ascii="Book Antiqua" w:hAnsi="Book Antiqua" w:cs="Times New Roman"/>
          <w:sz w:val="24"/>
        </w:rPr>
        <w:t xml:space="preserve"> tarafından </w:t>
      </w:r>
      <w:r>
        <w:rPr>
          <w:rFonts w:ascii="Book Antiqua" w:hAnsi="Book Antiqua" w:cs="Times New Roman"/>
          <w:sz w:val="24"/>
        </w:rPr>
        <w:t>birimler</w:t>
      </w:r>
      <w:r w:rsidRPr="00456BEF">
        <w:rPr>
          <w:rFonts w:ascii="Book Antiqua" w:hAnsi="Book Antiqua" w:cs="Times New Roman"/>
          <w:sz w:val="24"/>
        </w:rPr>
        <w:t xml:space="preserve">den sorumlu oldukları göstergeler ve stratejiler ile ilgili yıl sonu gerçekleşme durumlarına ait veriler toplanarak </w:t>
      </w:r>
      <w:proofErr w:type="gramStart"/>
      <w:r w:rsidRPr="00456BEF">
        <w:rPr>
          <w:rFonts w:ascii="Book Antiqua" w:hAnsi="Book Antiqua" w:cs="Times New Roman"/>
          <w:sz w:val="24"/>
        </w:rPr>
        <w:t>konsolide</w:t>
      </w:r>
      <w:proofErr w:type="gramEnd"/>
      <w:r w:rsidRPr="00456BEF">
        <w:rPr>
          <w:rFonts w:ascii="Book Antiqua" w:hAnsi="Book Antiqua" w:cs="Times New Roman"/>
          <w:sz w:val="24"/>
        </w:rPr>
        <w:t xml:space="preserve"> edilmektedir. Yılsonu gerçekleşme durumları, varsa gösterge hedeflerinden sapmalar ve bunların nedenleri değerlendirilerek gerekli tedbirlerin alınmasına çalışılmaktadır. Ayrıca stratejik planın yıllık izleme ve değerlendirme raporu hazırlanmaktadır.</w:t>
      </w:r>
    </w:p>
    <w:p w:rsidR="00F325E5" w:rsidRPr="00F325E5" w:rsidRDefault="00F325E5" w:rsidP="00F325E5">
      <w:pPr>
        <w:spacing w:before="240" w:line="360" w:lineRule="auto"/>
        <w:jc w:val="center"/>
        <w:rPr>
          <w:rFonts w:ascii="Book Antiqua" w:hAnsi="Book Antiqua" w:cs="Times New Roman"/>
          <w:b/>
          <w:color w:val="0070C0"/>
          <w:sz w:val="24"/>
        </w:rPr>
      </w:pPr>
      <w:r w:rsidRPr="00F325E5">
        <w:rPr>
          <w:rFonts w:ascii="Book Antiqua" w:hAnsi="Book Antiqua" w:cs="Times New Roman"/>
          <w:b/>
          <w:color w:val="0070C0"/>
          <w:sz w:val="24"/>
        </w:rPr>
        <w:t>Usul ve Esaslar</w:t>
      </w:r>
    </w:p>
    <w:p w:rsidR="00F325E5" w:rsidRDefault="00F325E5" w:rsidP="006B6AD2">
      <w:pPr>
        <w:spacing w:before="240" w:line="360" w:lineRule="auto"/>
        <w:ind w:firstLine="708"/>
        <w:jc w:val="both"/>
        <w:rPr>
          <w:rFonts w:ascii="Book Antiqua" w:hAnsi="Book Antiqua" w:cs="Times New Roman"/>
          <w:sz w:val="24"/>
        </w:rPr>
      </w:pPr>
      <w:r>
        <w:rPr>
          <w:rFonts w:ascii="Book Antiqua" w:hAnsi="Book Antiqua" w:cs="Times New Roman"/>
          <w:sz w:val="24"/>
        </w:rPr>
        <w:t>İ</w:t>
      </w:r>
      <w:r w:rsidR="00D8169C" w:rsidRPr="008D0D2F">
        <w:rPr>
          <w:rFonts w:ascii="Book Antiqua" w:hAnsi="Book Antiqua" w:cs="Times New Roman"/>
          <w:sz w:val="24"/>
        </w:rPr>
        <w:t>l millî eğitim müdürlüklerinin</w:t>
      </w:r>
      <w:r w:rsidR="00F84B83" w:rsidRPr="008D0D2F">
        <w:rPr>
          <w:rFonts w:ascii="Book Antiqua" w:hAnsi="Book Antiqua" w:cs="Times New Roman"/>
          <w:sz w:val="24"/>
        </w:rPr>
        <w:t xml:space="preserve"> stratejik plan</w:t>
      </w:r>
      <w:r w:rsidR="00D8169C" w:rsidRPr="008D0D2F">
        <w:rPr>
          <w:rFonts w:ascii="Book Antiqua" w:hAnsi="Book Antiqua" w:cs="Times New Roman"/>
          <w:sz w:val="24"/>
        </w:rPr>
        <w:t xml:space="preserve"> izleme ve değerlendirme sürecinde aşağıdak</w:t>
      </w:r>
      <w:r w:rsidR="00F84B83" w:rsidRPr="008D0D2F">
        <w:rPr>
          <w:rFonts w:ascii="Book Antiqua" w:hAnsi="Book Antiqua" w:cs="Times New Roman"/>
          <w:sz w:val="24"/>
        </w:rPr>
        <w:t>i usul ve esaslar</w:t>
      </w:r>
      <w:r>
        <w:rPr>
          <w:rFonts w:ascii="Book Antiqua" w:hAnsi="Book Antiqua" w:cs="Times New Roman"/>
          <w:sz w:val="24"/>
        </w:rPr>
        <w:t xml:space="preserve"> aşağıda maddeler halinde sunulmuştur.</w:t>
      </w:r>
    </w:p>
    <w:p w:rsidR="00744625" w:rsidRPr="00F325E5" w:rsidRDefault="00F325E5" w:rsidP="00F325E5">
      <w:pPr>
        <w:pStyle w:val="ListeParagraf"/>
        <w:numPr>
          <w:ilvl w:val="0"/>
          <w:numId w:val="1"/>
        </w:numPr>
        <w:spacing w:before="240" w:line="360" w:lineRule="auto"/>
        <w:jc w:val="both"/>
        <w:rPr>
          <w:rFonts w:ascii="Book Antiqua" w:hAnsi="Book Antiqua" w:cs="Times New Roman"/>
          <w:b/>
          <w:sz w:val="24"/>
        </w:rPr>
      </w:pPr>
      <w:r w:rsidRPr="00F325E5">
        <w:rPr>
          <w:rFonts w:ascii="Book Antiqua" w:hAnsi="Book Antiqua" w:cs="Times New Roman"/>
          <w:b/>
          <w:sz w:val="24"/>
        </w:rPr>
        <w:t>Sorumlu</w:t>
      </w:r>
      <w:r w:rsidR="0063267D">
        <w:rPr>
          <w:rFonts w:ascii="Book Antiqua" w:hAnsi="Book Antiqua" w:cs="Times New Roman"/>
          <w:b/>
          <w:sz w:val="24"/>
        </w:rPr>
        <w:t>ların</w:t>
      </w:r>
      <w:r w:rsidRPr="00F325E5">
        <w:rPr>
          <w:rFonts w:ascii="Book Antiqua" w:hAnsi="Book Antiqua" w:cs="Times New Roman"/>
          <w:b/>
          <w:sz w:val="24"/>
        </w:rPr>
        <w:t xml:space="preserve"> ve koordinatör personelin belirlenmesi</w:t>
      </w:r>
    </w:p>
    <w:p w:rsidR="0063267D" w:rsidRDefault="00D4452F" w:rsidP="0063267D">
      <w:pPr>
        <w:spacing w:before="240" w:line="360" w:lineRule="auto"/>
        <w:ind w:firstLine="708"/>
        <w:jc w:val="both"/>
        <w:rPr>
          <w:rFonts w:ascii="Book Antiqua" w:hAnsi="Book Antiqua" w:cs="Times New Roman"/>
          <w:sz w:val="24"/>
        </w:rPr>
      </w:pPr>
      <w:r>
        <w:rPr>
          <w:rFonts w:ascii="Book Antiqua" w:hAnsi="Book Antiqua" w:cs="Times New Roman"/>
          <w:sz w:val="24"/>
        </w:rPr>
        <w:t>İlk olarak s</w:t>
      </w:r>
      <w:r w:rsidR="00D8169C" w:rsidRPr="00D4452F">
        <w:rPr>
          <w:rFonts w:ascii="Book Antiqua" w:hAnsi="Book Antiqua" w:cs="Times New Roman"/>
          <w:sz w:val="24"/>
        </w:rPr>
        <w:t>tratejik planın izlenmesi ve değerlendirilmesi süreçlerinden sorumlu olacak personel belirlenmelidir. Görevlendirilecek personel stratejik yönetim ve planlama</w:t>
      </w:r>
      <w:r w:rsidR="0063267D">
        <w:rPr>
          <w:rFonts w:ascii="Book Antiqua" w:hAnsi="Book Antiqua" w:cs="Times New Roman"/>
          <w:sz w:val="24"/>
        </w:rPr>
        <w:t xml:space="preserve"> ile izleme ve değerlendirme</w:t>
      </w:r>
      <w:r w:rsidR="00D8169C" w:rsidRPr="00D4452F">
        <w:rPr>
          <w:rFonts w:ascii="Book Antiqua" w:hAnsi="Book Antiqua" w:cs="Times New Roman"/>
          <w:sz w:val="24"/>
        </w:rPr>
        <w:t xml:space="preserve"> konusunda </w:t>
      </w:r>
      <w:r w:rsidR="0063267D">
        <w:rPr>
          <w:rFonts w:ascii="Book Antiqua" w:hAnsi="Book Antiqua" w:cs="Times New Roman"/>
          <w:sz w:val="24"/>
        </w:rPr>
        <w:t xml:space="preserve">eğitim, </w:t>
      </w:r>
      <w:r w:rsidR="00D8169C" w:rsidRPr="00D4452F">
        <w:rPr>
          <w:rFonts w:ascii="Book Antiqua" w:hAnsi="Book Antiqua" w:cs="Times New Roman"/>
          <w:sz w:val="24"/>
        </w:rPr>
        <w:t xml:space="preserve">bilgi ve deneyim sahibi olmalı, planda yer alan amaç ve hedeflerin geneline </w:t>
      </w:r>
      <w:proofErr w:type="gramStart"/>
      <w:r w:rsidR="0063267D">
        <w:rPr>
          <w:rFonts w:ascii="Book Antiqua" w:hAnsi="Book Antiqua" w:cs="Times New Roman"/>
          <w:sz w:val="24"/>
        </w:rPr>
        <w:t>hakim</w:t>
      </w:r>
      <w:proofErr w:type="gramEnd"/>
      <w:r w:rsidR="0063267D">
        <w:rPr>
          <w:rFonts w:ascii="Book Antiqua" w:hAnsi="Book Antiqua" w:cs="Times New Roman"/>
          <w:sz w:val="24"/>
        </w:rPr>
        <w:t xml:space="preserve"> </w:t>
      </w:r>
      <w:r w:rsidR="00D8169C" w:rsidRPr="00D4452F">
        <w:rPr>
          <w:rFonts w:ascii="Book Antiqua" w:hAnsi="Book Antiqua" w:cs="Times New Roman"/>
          <w:sz w:val="24"/>
        </w:rPr>
        <w:t>olmalıdır.</w:t>
      </w:r>
      <w:r w:rsidR="004242D8" w:rsidRPr="00D4452F">
        <w:rPr>
          <w:rFonts w:ascii="Book Antiqua" w:hAnsi="Book Antiqua" w:cs="Times New Roman"/>
          <w:sz w:val="24"/>
        </w:rPr>
        <w:t xml:space="preserve"> İzleme ve değerlendirme faaliyetlerinden sorumlu personel </w:t>
      </w:r>
      <w:r w:rsidR="0063267D">
        <w:rPr>
          <w:rFonts w:ascii="Book Antiqua" w:hAnsi="Book Antiqua" w:cs="Times New Roman"/>
          <w:sz w:val="24"/>
        </w:rPr>
        <w:t xml:space="preserve">aşırı bir </w:t>
      </w:r>
      <w:r w:rsidR="00D55B9F" w:rsidRPr="00D4452F">
        <w:rPr>
          <w:rFonts w:ascii="Book Antiqua" w:hAnsi="Book Antiqua" w:cs="Times New Roman"/>
          <w:sz w:val="24"/>
        </w:rPr>
        <w:t>zorunlu</w:t>
      </w:r>
      <w:r w:rsidR="00D55B9F">
        <w:rPr>
          <w:rFonts w:ascii="Book Antiqua" w:hAnsi="Book Antiqua" w:cs="Times New Roman"/>
          <w:sz w:val="24"/>
        </w:rPr>
        <w:t>luk</w:t>
      </w:r>
      <w:r w:rsidR="004242D8" w:rsidRPr="00D4452F">
        <w:rPr>
          <w:rFonts w:ascii="Book Antiqua" w:hAnsi="Book Antiqua" w:cs="Times New Roman"/>
          <w:sz w:val="24"/>
        </w:rPr>
        <w:t xml:space="preserve"> olmadıkça değiştirilmemelidir.</w:t>
      </w:r>
    </w:p>
    <w:p w:rsidR="00260011" w:rsidRDefault="0063267D" w:rsidP="00260011">
      <w:pPr>
        <w:spacing w:before="240" w:line="360" w:lineRule="auto"/>
        <w:ind w:firstLine="708"/>
        <w:jc w:val="both"/>
        <w:rPr>
          <w:rFonts w:ascii="Book Antiqua" w:hAnsi="Book Antiqua" w:cs="Times New Roman"/>
          <w:sz w:val="24"/>
        </w:rPr>
      </w:pPr>
      <w:r>
        <w:rPr>
          <w:rFonts w:ascii="Book Antiqua" w:hAnsi="Book Antiqua" w:cs="Times New Roman"/>
          <w:sz w:val="24"/>
        </w:rPr>
        <w:t xml:space="preserve">Ancak buradan izleme ve değerlendirme konusunda tek sorumluluğun koordinatör personele ait olduğu anlamı çıkarılmamalıdır. İzleme ve değerlendirme uygulamalarının kalitesi katılımcılıkla doğru orantılıdır. </w:t>
      </w:r>
      <w:r w:rsidR="009A6F79" w:rsidRPr="0063267D">
        <w:rPr>
          <w:rFonts w:ascii="Book Antiqua" w:hAnsi="Book Antiqua" w:cs="Times New Roman"/>
          <w:sz w:val="24"/>
        </w:rPr>
        <w:t>Stratejik planın izlenmesi ve değerlendirilmesi ile ilgili görev ve sorumluluk yalnızca izleme ve değerlendirmeden sorumlu personele ait değildir. Her birim planda kendine verilmiş sorumluluk ölçüsünde izleme ve değerlendirme faaliyetlerine katılım sağlamalıdır.</w:t>
      </w:r>
    </w:p>
    <w:p w:rsidR="009A6F79" w:rsidRPr="00260011" w:rsidRDefault="00B9412C" w:rsidP="00260011">
      <w:pPr>
        <w:spacing w:before="240" w:line="360" w:lineRule="auto"/>
        <w:ind w:firstLine="708"/>
        <w:jc w:val="both"/>
        <w:rPr>
          <w:rFonts w:ascii="Book Antiqua" w:hAnsi="Book Antiqua" w:cs="Times New Roman"/>
          <w:sz w:val="24"/>
        </w:rPr>
      </w:pPr>
      <w:r w:rsidRPr="00260011">
        <w:rPr>
          <w:rFonts w:ascii="Book Antiqua" w:hAnsi="Book Antiqua" w:cs="Times New Roman"/>
          <w:sz w:val="24"/>
        </w:rPr>
        <w:t>İl millî eğitim müdürlüğü stratejik planı</w:t>
      </w:r>
      <w:r w:rsidR="008833C7" w:rsidRPr="00260011">
        <w:rPr>
          <w:rFonts w:ascii="Book Antiqua" w:hAnsi="Book Antiqua" w:cs="Times New Roman"/>
          <w:sz w:val="24"/>
        </w:rPr>
        <w:t xml:space="preserve">ndaki görev ve sorumlulukları konusunda il millî </w:t>
      </w:r>
      <w:r w:rsidR="00F53634" w:rsidRPr="00260011">
        <w:rPr>
          <w:rFonts w:ascii="Book Antiqua" w:hAnsi="Book Antiqua" w:cs="Times New Roman"/>
          <w:sz w:val="24"/>
        </w:rPr>
        <w:t xml:space="preserve">eğitim müdürlüğü birimleri ve personeli bilgilendirilmelidir. </w:t>
      </w:r>
      <w:r w:rsidR="00A96541" w:rsidRPr="00260011">
        <w:rPr>
          <w:rFonts w:ascii="Book Antiqua" w:hAnsi="Book Antiqua" w:cs="Times New Roman"/>
          <w:sz w:val="24"/>
        </w:rPr>
        <w:lastRenderedPageBreak/>
        <w:t>Birimlerce yürütülen faaliyetlerin</w:t>
      </w:r>
      <w:r w:rsidR="005F17D5" w:rsidRPr="00260011">
        <w:rPr>
          <w:rFonts w:ascii="Book Antiqua" w:hAnsi="Book Antiqua" w:cs="Times New Roman"/>
          <w:sz w:val="24"/>
        </w:rPr>
        <w:t>;</w:t>
      </w:r>
      <w:r w:rsidR="00A96541" w:rsidRPr="00260011">
        <w:rPr>
          <w:rFonts w:ascii="Book Antiqua" w:hAnsi="Book Antiqua" w:cs="Times New Roman"/>
          <w:sz w:val="24"/>
        </w:rPr>
        <w:t xml:space="preserve"> plandaki amaç ve hedefleri gerçekleştirici</w:t>
      </w:r>
      <w:r w:rsidR="00DA2CE9" w:rsidRPr="00260011">
        <w:rPr>
          <w:rFonts w:ascii="Book Antiqua" w:hAnsi="Book Antiqua" w:cs="Times New Roman"/>
          <w:sz w:val="24"/>
        </w:rPr>
        <w:t>, stratejik yönetim kültürünü geliştirici</w:t>
      </w:r>
      <w:r w:rsidR="00A96541" w:rsidRPr="00260011">
        <w:rPr>
          <w:rFonts w:ascii="Book Antiqua" w:hAnsi="Book Antiqua" w:cs="Times New Roman"/>
          <w:sz w:val="24"/>
        </w:rPr>
        <w:t xml:space="preserve"> nitelikte olmasına özen gösterilmelidir.</w:t>
      </w:r>
    </w:p>
    <w:p w:rsidR="00260011" w:rsidRPr="00260011" w:rsidRDefault="00260011" w:rsidP="00260011">
      <w:pPr>
        <w:pStyle w:val="ListeParagraf"/>
        <w:numPr>
          <w:ilvl w:val="0"/>
          <w:numId w:val="1"/>
        </w:numPr>
        <w:spacing w:before="240" w:line="360" w:lineRule="auto"/>
        <w:jc w:val="both"/>
        <w:rPr>
          <w:rFonts w:ascii="Book Antiqua" w:hAnsi="Book Antiqua" w:cs="Times New Roman"/>
          <w:b/>
          <w:sz w:val="24"/>
        </w:rPr>
      </w:pPr>
      <w:r w:rsidRPr="00260011">
        <w:rPr>
          <w:rFonts w:ascii="Book Antiqua" w:hAnsi="Book Antiqua" w:cs="Times New Roman"/>
          <w:b/>
          <w:sz w:val="24"/>
        </w:rPr>
        <w:t>Verilerin güvenilirliği ve geçerliliği</w:t>
      </w:r>
    </w:p>
    <w:p w:rsidR="009A6F79" w:rsidRPr="00260011" w:rsidRDefault="00072118" w:rsidP="00260011">
      <w:pPr>
        <w:spacing w:before="240" w:line="360" w:lineRule="auto"/>
        <w:ind w:firstLine="708"/>
        <w:jc w:val="both"/>
        <w:rPr>
          <w:rFonts w:ascii="Book Antiqua" w:hAnsi="Book Antiqua" w:cs="Times New Roman"/>
          <w:sz w:val="24"/>
        </w:rPr>
      </w:pPr>
      <w:r w:rsidRPr="00260011">
        <w:rPr>
          <w:rFonts w:ascii="Book Antiqua" w:hAnsi="Book Antiqua" w:cs="Times New Roman"/>
          <w:sz w:val="24"/>
        </w:rPr>
        <w:t>Stratejik planın izlenmesi ile ilgili verilerin toplanması</w:t>
      </w:r>
      <w:r w:rsidR="001057E5" w:rsidRPr="00260011">
        <w:rPr>
          <w:rFonts w:ascii="Book Antiqua" w:hAnsi="Book Antiqua" w:cs="Times New Roman"/>
          <w:sz w:val="24"/>
        </w:rPr>
        <w:t xml:space="preserve"> sürecinde</w:t>
      </w:r>
      <w:r w:rsidRPr="00260011">
        <w:rPr>
          <w:rFonts w:ascii="Book Antiqua" w:hAnsi="Book Antiqua" w:cs="Times New Roman"/>
          <w:b/>
          <w:sz w:val="24"/>
        </w:rPr>
        <w:t xml:space="preserve"> </w:t>
      </w:r>
      <w:r w:rsidRPr="00260011">
        <w:rPr>
          <w:rFonts w:ascii="Book Antiqua" w:hAnsi="Book Antiqua" w:cs="Times New Roman"/>
          <w:sz w:val="24"/>
        </w:rPr>
        <w:t xml:space="preserve">dönemler arasında ve </w:t>
      </w:r>
      <w:r w:rsidR="001057E5" w:rsidRPr="00260011">
        <w:rPr>
          <w:rFonts w:ascii="Book Antiqua" w:hAnsi="Book Antiqua" w:cs="Times New Roman"/>
          <w:sz w:val="24"/>
        </w:rPr>
        <w:t>hesaplama yapan birimlerce f</w:t>
      </w:r>
      <w:r w:rsidRPr="00260011">
        <w:rPr>
          <w:rFonts w:ascii="Book Antiqua" w:hAnsi="Book Antiqua" w:cs="Times New Roman"/>
          <w:sz w:val="24"/>
        </w:rPr>
        <w:t xml:space="preserve">arklılık </w:t>
      </w:r>
      <w:r w:rsidR="001057E5" w:rsidRPr="00260011">
        <w:rPr>
          <w:rFonts w:ascii="Book Antiqua" w:hAnsi="Book Antiqua" w:cs="Times New Roman"/>
          <w:sz w:val="24"/>
        </w:rPr>
        <w:t>yaşanabilmektedir</w:t>
      </w:r>
      <w:r w:rsidRPr="00260011">
        <w:rPr>
          <w:rFonts w:ascii="Book Antiqua" w:hAnsi="Book Antiqua" w:cs="Times New Roman"/>
          <w:sz w:val="24"/>
        </w:rPr>
        <w:t xml:space="preserve">. Örneğin, “Kütüphanesi olan okul oranı” gibi göstergeler birimlerce farklı yorumlanabilmektedir. Bu göstergeye özel okulların dâhil olup olmadığı ile ilgili tereddüt yaşanması mümkündür. Önemli olan bir diğer husus da eğitim alanındaki verilerin dinamik oluşu sebebiyle zamanında veri toplanmasıdır. Aynı veriler talep edilen tarihten birkaç gün sonra dahi toplandığında farklılaşabilmektedir. Bu da verinin güvenirliğini düşürmekte ve </w:t>
      </w:r>
      <w:proofErr w:type="spellStart"/>
      <w:r w:rsidRPr="00260011">
        <w:rPr>
          <w:rFonts w:ascii="Book Antiqua" w:hAnsi="Book Antiqua" w:cs="Times New Roman"/>
          <w:sz w:val="24"/>
        </w:rPr>
        <w:t>karşılaştırılabilirliğini</w:t>
      </w:r>
      <w:proofErr w:type="spellEnd"/>
      <w:r w:rsidRPr="00260011">
        <w:rPr>
          <w:rFonts w:ascii="Book Antiqua" w:hAnsi="Book Antiqua" w:cs="Times New Roman"/>
          <w:sz w:val="24"/>
        </w:rPr>
        <w:t xml:space="preserve"> olumsuz yönde etkilemektedir. Bu sebeple göstergelerin kapsamı ve veri toplama tarihleri standartlaştırılmalıdır. </w:t>
      </w:r>
    </w:p>
    <w:p w:rsidR="00AB0B94" w:rsidRDefault="001F1447" w:rsidP="00260011">
      <w:pPr>
        <w:spacing w:before="240" w:line="360" w:lineRule="auto"/>
        <w:ind w:firstLine="708"/>
        <w:jc w:val="both"/>
        <w:rPr>
          <w:rFonts w:ascii="Book Antiqua" w:hAnsi="Book Antiqua" w:cs="Times New Roman"/>
          <w:sz w:val="24"/>
        </w:rPr>
      </w:pPr>
      <w:proofErr w:type="gramStart"/>
      <w:r w:rsidRPr="00260011">
        <w:rPr>
          <w:rFonts w:ascii="Book Antiqua" w:hAnsi="Book Antiqua" w:cs="Times New Roman"/>
          <w:sz w:val="24"/>
        </w:rPr>
        <w:t>Yıl sonu</w:t>
      </w:r>
      <w:proofErr w:type="gramEnd"/>
      <w:r w:rsidRPr="00260011">
        <w:rPr>
          <w:rFonts w:ascii="Book Antiqua" w:hAnsi="Book Antiqua" w:cs="Times New Roman"/>
          <w:sz w:val="24"/>
        </w:rPr>
        <w:t xml:space="preserve"> izlemesinde e</w:t>
      </w:r>
      <w:r w:rsidR="00072118" w:rsidRPr="00260011">
        <w:rPr>
          <w:rFonts w:ascii="Book Antiqua" w:hAnsi="Book Antiqua" w:cs="Times New Roman"/>
          <w:sz w:val="24"/>
        </w:rPr>
        <w:t>ğitim ve öğretim yılı ile</w:t>
      </w:r>
      <w:r w:rsidRPr="00260011">
        <w:rPr>
          <w:rFonts w:ascii="Book Antiqua" w:hAnsi="Book Antiqua" w:cs="Times New Roman"/>
          <w:sz w:val="24"/>
        </w:rPr>
        <w:t xml:space="preserve"> ilgili göstergelerde bir önceki eğitim ve öğretim yılının sonu dikkate alınmalıdır. Örneğin 2017 yılı sonu eğitim ve öğretim yılı ile ilgili veriler (Takdir/teşekkür belgesi alan öğrenci oranı, </w:t>
      </w:r>
      <w:proofErr w:type="gramStart"/>
      <w:r w:rsidRPr="00260011">
        <w:rPr>
          <w:rFonts w:ascii="Book Antiqua" w:hAnsi="Book Antiqua" w:cs="Times New Roman"/>
          <w:sz w:val="24"/>
        </w:rPr>
        <w:t>yıl sonu</w:t>
      </w:r>
      <w:proofErr w:type="gramEnd"/>
      <w:r w:rsidRPr="00260011">
        <w:rPr>
          <w:rFonts w:ascii="Book Antiqua" w:hAnsi="Book Antiqua" w:cs="Times New Roman"/>
          <w:sz w:val="24"/>
        </w:rPr>
        <w:t xml:space="preserve"> başarı puanı ortalamaları, öğrenci başına okunan kitap sayısı gibi) 2016-2017 eğitim ve öğretim yılının sonu dikkate alınarak </w:t>
      </w:r>
      <w:r w:rsidR="00F17395" w:rsidRPr="00260011">
        <w:rPr>
          <w:rFonts w:ascii="Book Antiqua" w:hAnsi="Book Antiqua" w:cs="Times New Roman"/>
          <w:sz w:val="24"/>
        </w:rPr>
        <w:t>hesaplanacaktır</w:t>
      </w:r>
      <w:r w:rsidRPr="00260011">
        <w:rPr>
          <w:rFonts w:ascii="Book Antiqua" w:hAnsi="Book Antiqua" w:cs="Times New Roman"/>
          <w:sz w:val="24"/>
        </w:rPr>
        <w:t>.</w:t>
      </w:r>
      <w:r w:rsidR="000F05F9" w:rsidRPr="00260011">
        <w:rPr>
          <w:rFonts w:ascii="Book Antiqua" w:hAnsi="Book Antiqua" w:cs="Times New Roman"/>
          <w:sz w:val="24"/>
        </w:rPr>
        <w:t xml:space="preserve"> Eğitim ve öğretim yılı sonu ile doğrudan ilgisi olmayan veriler ise mali </w:t>
      </w:r>
      <w:proofErr w:type="gramStart"/>
      <w:r w:rsidR="000F05F9" w:rsidRPr="00260011">
        <w:rPr>
          <w:rFonts w:ascii="Book Antiqua" w:hAnsi="Book Antiqua" w:cs="Times New Roman"/>
          <w:sz w:val="24"/>
        </w:rPr>
        <w:t>yıl sonu</w:t>
      </w:r>
      <w:proofErr w:type="gramEnd"/>
      <w:r w:rsidR="000F05F9" w:rsidRPr="00260011">
        <w:rPr>
          <w:rFonts w:ascii="Book Antiqua" w:hAnsi="Book Antiqua" w:cs="Times New Roman"/>
          <w:sz w:val="24"/>
        </w:rPr>
        <w:t xml:space="preserve"> dikkate alınarak hesaplanacaktır.</w:t>
      </w:r>
    </w:p>
    <w:p w:rsidR="00260011" w:rsidRPr="00260011" w:rsidRDefault="00260011" w:rsidP="00260011">
      <w:pPr>
        <w:pStyle w:val="ListeParagraf"/>
        <w:numPr>
          <w:ilvl w:val="0"/>
          <w:numId w:val="1"/>
        </w:numPr>
        <w:spacing w:before="240" w:line="360" w:lineRule="auto"/>
        <w:jc w:val="both"/>
        <w:rPr>
          <w:rFonts w:ascii="Book Antiqua" w:hAnsi="Book Antiqua" w:cs="Times New Roman"/>
          <w:b/>
          <w:sz w:val="24"/>
        </w:rPr>
      </w:pPr>
      <w:r w:rsidRPr="00260011">
        <w:rPr>
          <w:rFonts w:ascii="Book Antiqua" w:hAnsi="Book Antiqua" w:cs="Times New Roman"/>
          <w:b/>
          <w:sz w:val="24"/>
        </w:rPr>
        <w:t>Performans göstergelerinin izlenmesi</w:t>
      </w:r>
    </w:p>
    <w:p w:rsidR="004D6F5F" w:rsidRDefault="00CC39B5" w:rsidP="00260011">
      <w:pPr>
        <w:spacing w:before="240" w:line="360" w:lineRule="auto"/>
        <w:ind w:firstLine="708"/>
        <w:jc w:val="both"/>
        <w:rPr>
          <w:rFonts w:ascii="Book Antiqua" w:hAnsi="Book Antiqua" w:cs="Times New Roman"/>
          <w:sz w:val="24"/>
        </w:rPr>
      </w:pPr>
      <w:r w:rsidRPr="00260011">
        <w:rPr>
          <w:rFonts w:ascii="Book Antiqua" w:hAnsi="Book Antiqua" w:cs="Times New Roman"/>
          <w:sz w:val="24"/>
        </w:rPr>
        <w:t xml:space="preserve">2015-2019 </w:t>
      </w:r>
      <w:r w:rsidR="007B1B49">
        <w:rPr>
          <w:rFonts w:ascii="Book Antiqua" w:hAnsi="Book Antiqua" w:cs="Times New Roman"/>
          <w:sz w:val="24"/>
        </w:rPr>
        <w:t>s</w:t>
      </w:r>
      <w:r w:rsidRPr="00260011">
        <w:rPr>
          <w:rFonts w:ascii="Book Antiqua" w:hAnsi="Book Antiqua" w:cs="Times New Roman"/>
          <w:sz w:val="24"/>
        </w:rPr>
        <w:t>tratejik plan</w:t>
      </w:r>
      <w:r w:rsidR="007B1B49">
        <w:rPr>
          <w:rFonts w:ascii="Book Antiqua" w:hAnsi="Book Antiqua" w:cs="Times New Roman"/>
          <w:sz w:val="24"/>
        </w:rPr>
        <w:t>lar</w:t>
      </w:r>
      <w:r w:rsidRPr="00260011">
        <w:rPr>
          <w:rFonts w:ascii="Book Antiqua" w:hAnsi="Book Antiqua" w:cs="Times New Roman"/>
          <w:sz w:val="24"/>
        </w:rPr>
        <w:t>ında üç ayrı tema bulunmaktadır. Bu üç temaya uygun</w:t>
      </w:r>
      <w:r w:rsidR="004D6F5F">
        <w:rPr>
          <w:rFonts w:ascii="Book Antiqua" w:hAnsi="Book Antiqua" w:cs="Times New Roman"/>
          <w:sz w:val="24"/>
        </w:rPr>
        <w:t>, il millî eğitim müdürlüklerinin büyük çoğunluğunca izlenen</w:t>
      </w:r>
      <w:r w:rsidRPr="00260011">
        <w:rPr>
          <w:rFonts w:ascii="Book Antiqua" w:hAnsi="Book Antiqua" w:cs="Times New Roman"/>
          <w:sz w:val="24"/>
        </w:rPr>
        <w:t xml:space="preserve"> performans göstergeleri</w:t>
      </w:r>
      <w:r w:rsidR="004D6F5F">
        <w:rPr>
          <w:rFonts w:ascii="Book Antiqua" w:hAnsi="Book Antiqua" w:cs="Times New Roman"/>
          <w:sz w:val="24"/>
        </w:rPr>
        <w:t xml:space="preserve"> tespit edilerek, faaliyet alanları bazında</w:t>
      </w:r>
      <w:r w:rsidR="006C03CF" w:rsidRPr="00260011">
        <w:rPr>
          <w:rFonts w:ascii="Book Antiqua" w:hAnsi="Book Antiqua" w:cs="Times New Roman"/>
          <w:sz w:val="24"/>
        </w:rPr>
        <w:t xml:space="preserve"> </w:t>
      </w:r>
      <w:r w:rsidR="004D6F5F">
        <w:rPr>
          <w:rFonts w:ascii="Book Antiqua" w:hAnsi="Book Antiqua" w:cs="Times New Roman"/>
          <w:sz w:val="24"/>
        </w:rPr>
        <w:t xml:space="preserve">EK-2’de yer verilmiştir. </w:t>
      </w:r>
      <w:r w:rsidR="00C660C4">
        <w:rPr>
          <w:rFonts w:ascii="Book Antiqua" w:hAnsi="Book Antiqua" w:cs="Times New Roman"/>
          <w:sz w:val="24"/>
        </w:rPr>
        <w:t>Bu kısma ilk olarak stratejik planlardaki 2019 yılı hedefleri girilmelidir.</w:t>
      </w:r>
      <w:r w:rsidR="00DD399F" w:rsidRPr="004F0F25">
        <w:rPr>
          <w:rFonts w:ascii="Book Antiqua" w:hAnsi="Book Antiqua" w:cs="Times New Roman"/>
          <w:b/>
          <w:sz w:val="24"/>
        </w:rPr>
        <w:t xml:space="preserve"> Eğer</w:t>
      </w:r>
      <w:r w:rsidR="00DD399F" w:rsidRPr="000C16DE">
        <w:rPr>
          <w:rFonts w:ascii="Book Antiqua" w:hAnsi="Book Antiqua" w:cs="Times New Roman"/>
          <w:b/>
          <w:sz w:val="24"/>
        </w:rPr>
        <w:t xml:space="preserve"> belirtilen performans göstergesi il millî eğitim müdürlüğü stratejik planında yer almıyorsa, bunun yerine planda yer alan bu göstergeye kavramsal ve stratejik açıdan en yakın gösterge tabloya eklenmelidir.</w:t>
      </w:r>
      <w:r w:rsidR="00DD399F">
        <w:rPr>
          <w:rFonts w:ascii="Book Antiqua" w:hAnsi="Book Antiqua" w:cs="Times New Roman"/>
          <w:sz w:val="24"/>
        </w:rPr>
        <w:t xml:space="preserve"> </w:t>
      </w:r>
      <w:r w:rsidR="004D6F5F">
        <w:rPr>
          <w:rFonts w:ascii="Book Antiqua" w:hAnsi="Book Antiqua" w:cs="Times New Roman"/>
          <w:sz w:val="24"/>
        </w:rPr>
        <w:t xml:space="preserve">Verilerin elde edilmesinde yol göstermesi için ayrıca tabloların son sütununda “Hesaplama yöntemi” bölümü oluşturulmuştur. </w:t>
      </w:r>
      <w:r w:rsidR="004D6F5F">
        <w:rPr>
          <w:rFonts w:ascii="Book Antiqua" w:hAnsi="Book Antiqua" w:cs="Times New Roman"/>
          <w:sz w:val="24"/>
        </w:rPr>
        <w:lastRenderedPageBreak/>
        <w:t xml:space="preserve">Belirtilen </w:t>
      </w:r>
      <w:r w:rsidR="004F0F25">
        <w:rPr>
          <w:rFonts w:ascii="Book Antiqua" w:hAnsi="Book Antiqua" w:cs="Times New Roman"/>
          <w:sz w:val="24"/>
        </w:rPr>
        <w:t xml:space="preserve">yönteme dikkat edilerek </w:t>
      </w:r>
      <w:r w:rsidR="004F0F25" w:rsidRPr="004F0F25">
        <w:rPr>
          <w:rFonts w:ascii="Book Antiqua" w:hAnsi="Book Antiqua" w:cs="Times New Roman"/>
          <w:sz w:val="24"/>
        </w:rPr>
        <w:t>2013</w:t>
      </w:r>
      <w:r w:rsidR="004F0F25">
        <w:rPr>
          <w:rFonts w:ascii="Book Antiqua" w:hAnsi="Book Antiqua" w:cs="Times New Roman"/>
          <w:sz w:val="24"/>
        </w:rPr>
        <w:t>,</w:t>
      </w:r>
      <w:r w:rsidR="004F0F25" w:rsidRPr="004F0F25">
        <w:rPr>
          <w:rFonts w:ascii="Book Antiqua" w:hAnsi="Book Antiqua" w:cs="Times New Roman"/>
          <w:sz w:val="24"/>
        </w:rPr>
        <w:tab/>
      </w:r>
      <w:r w:rsidR="004F0F25">
        <w:rPr>
          <w:rFonts w:ascii="Book Antiqua" w:hAnsi="Book Antiqua" w:cs="Times New Roman"/>
          <w:sz w:val="24"/>
        </w:rPr>
        <w:t xml:space="preserve"> </w:t>
      </w:r>
      <w:r w:rsidR="004F0F25" w:rsidRPr="004F0F25">
        <w:rPr>
          <w:rFonts w:ascii="Book Antiqua" w:hAnsi="Book Antiqua" w:cs="Times New Roman"/>
          <w:sz w:val="24"/>
        </w:rPr>
        <w:t>2014</w:t>
      </w:r>
      <w:r w:rsidR="004F0F25">
        <w:rPr>
          <w:rFonts w:ascii="Book Antiqua" w:hAnsi="Book Antiqua" w:cs="Times New Roman"/>
          <w:sz w:val="24"/>
        </w:rPr>
        <w:t>,</w:t>
      </w:r>
      <w:r w:rsidR="004F0F25" w:rsidRPr="004F0F25">
        <w:rPr>
          <w:rFonts w:ascii="Book Antiqua" w:hAnsi="Book Antiqua" w:cs="Times New Roman"/>
          <w:sz w:val="24"/>
        </w:rPr>
        <w:tab/>
        <w:t>2015</w:t>
      </w:r>
      <w:r w:rsidR="004F0F25">
        <w:rPr>
          <w:rFonts w:ascii="Book Antiqua" w:hAnsi="Book Antiqua" w:cs="Times New Roman"/>
          <w:sz w:val="24"/>
        </w:rPr>
        <w:t xml:space="preserve">, </w:t>
      </w:r>
      <w:r w:rsidR="004F0F25" w:rsidRPr="004F0F25">
        <w:rPr>
          <w:rFonts w:ascii="Book Antiqua" w:hAnsi="Book Antiqua" w:cs="Times New Roman"/>
          <w:sz w:val="24"/>
        </w:rPr>
        <w:t>2016</w:t>
      </w:r>
      <w:r w:rsidR="004F0F25">
        <w:rPr>
          <w:rFonts w:ascii="Book Antiqua" w:hAnsi="Book Antiqua" w:cs="Times New Roman"/>
          <w:sz w:val="24"/>
        </w:rPr>
        <w:t xml:space="preserve">, </w:t>
      </w:r>
      <w:r w:rsidR="004F0F25" w:rsidRPr="004F0F25">
        <w:rPr>
          <w:rFonts w:ascii="Book Antiqua" w:hAnsi="Book Antiqua" w:cs="Times New Roman"/>
          <w:sz w:val="24"/>
        </w:rPr>
        <w:t>2017</w:t>
      </w:r>
      <w:r w:rsidR="004F0F25">
        <w:rPr>
          <w:rFonts w:ascii="Book Antiqua" w:hAnsi="Book Antiqua" w:cs="Times New Roman"/>
          <w:sz w:val="24"/>
        </w:rPr>
        <w:t xml:space="preserve"> ve</w:t>
      </w:r>
      <w:r w:rsidR="004F0F25" w:rsidRPr="004F0F25">
        <w:rPr>
          <w:rFonts w:ascii="Book Antiqua" w:hAnsi="Book Antiqua" w:cs="Times New Roman"/>
          <w:sz w:val="24"/>
        </w:rPr>
        <w:tab/>
        <w:t>2018</w:t>
      </w:r>
      <w:r w:rsidR="004F0F25">
        <w:rPr>
          <w:rFonts w:ascii="Book Antiqua" w:hAnsi="Book Antiqua" w:cs="Times New Roman"/>
          <w:sz w:val="24"/>
        </w:rPr>
        <w:t xml:space="preserve"> yıllarına ait </w:t>
      </w:r>
      <w:r w:rsidR="00112721">
        <w:rPr>
          <w:rFonts w:ascii="Book Antiqua" w:hAnsi="Book Antiqua" w:cs="Times New Roman"/>
          <w:sz w:val="24"/>
        </w:rPr>
        <w:t>veriler</w:t>
      </w:r>
      <w:r w:rsidR="004F0F25">
        <w:rPr>
          <w:rFonts w:ascii="Book Antiqua" w:hAnsi="Book Antiqua" w:cs="Times New Roman"/>
          <w:sz w:val="24"/>
        </w:rPr>
        <w:t xml:space="preserve"> girilmelidir.</w:t>
      </w:r>
    </w:p>
    <w:p w:rsidR="00137FE6" w:rsidRDefault="00112721" w:rsidP="002666CD">
      <w:pPr>
        <w:spacing w:before="240" w:line="360" w:lineRule="auto"/>
        <w:ind w:firstLine="708"/>
        <w:jc w:val="both"/>
        <w:rPr>
          <w:rFonts w:ascii="Book Antiqua" w:hAnsi="Book Antiqua" w:cs="Times New Roman"/>
          <w:sz w:val="24"/>
        </w:rPr>
      </w:pPr>
      <w:r>
        <w:rPr>
          <w:rFonts w:ascii="Book Antiqua" w:hAnsi="Book Antiqua" w:cs="Times New Roman"/>
          <w:sz w:val="24"/>
        </w:rPr>
        <w:t>Veriler</w:t>
      </w:r>
      <w:r w:rsidR="002666CD">
        <w:rPr>
          <w:rFonts w:ascii="Book Antiqua" w:hAnsi="Book Antiqua" w:cs="Times New Roman"/>
          <w:sz w:val="24"/>
        </w:rPr>
        <w:t xml:space="preserve"> girildikten sonra; g</w:t>
      </w:r>
      <w:r w:rsidR="002666CD" w:rsidRPr="002666CD">
        <w:rPr>
          <w:rFonts w:ascii="Book Antiqua" w:hAnsi="Book Antiqua" w:cs="Times New Roman"/>
          <w:sz w:val="24"/>
        </w:rPr>
        <w:t>erileme gözlenen,  hedeften önemli oranda sapma gözlenen,  planlanandan önemli oranda erken ulaşılan gösterge gerçekleşmeleri ile ilgili, sapmaların</w:t>
      </w:r>
      <w:r w:rsidR="002666CD">
        <w:rPr>
          <w:rFonts w:ascii="Book Antiqua" w:hAnsi="Book Antiqua" w:cs="Times New Roman"/>
          <w:sz w:val="24"/>
        </w:rPr>
        <w:t xml:space="preserve"> nedenleri hakkında açıklamalar </w:t>
      </w:r>
      <w:r>
        <w:rPr>
          <w:rFonts w:ascii="Book Antiqua" w:hAnsi="Book Antiqua" w:cs="Times New Roman"/>
          <w:sz w:val="24"/>
        </w:rPr>
        <w:t xml:space="preserve">tabloların </w:t>
      </w:r>
      <w:r w:rsidR="002666CD">
        <w:rPr>
          <w:rFonts w:ascii="Book Antiqua" w:hAnsi="Book Antiqua" w:cs="Times New Roman"/>
          <w:sz w:val="24"/>
        </w:rPr>
        <w:t xml:space="preserve">“açıklama” kısmına belirtilmelidir. </w:t>
      </w:r>
      <w:r w:rsidR="00406171" w:rsidRPr="002666CD">
        <w:rPr>
          <w:rFonts w:ascii="Book Antiqua" w:hAnsi="Book Antiqua" w:cs="Times New Roman"/>
          <w:sz w:val="24"/>
        </w:rPr>
        <w:t xml:space="preserve"> Plan döneminde performans göstergesi ile ilgili </w:t>
      </w:r>
      <w:r w:rsidR="00137FE6" w:rsidRPr="002666CD">
        <w:rPr>
          <w:rFonts w:ascii="Book Antiqua" w:hAnsi="Book Antiqua" w:cs="Times New Roman"/>
          <w:sz w:val="24"/>
        </w:rPr>
        <w:t xml:space="preserve">belirtilmesi gereken özel bir durum </w:t>
      </w:r>
      <w:r w:rsidR="002666CD">
        <w:rPr>
          <w:rFonts w:ascii="Book Antiqua" w:hAnsi="Book Antiqua" w:cs="Times New Roman"/>
          <w:sz w:val="24"/>
        </w:rPr>
        <w:t>olmuşsa bu kısma</w:t>
      </w:r>
      <w:r w:rsidR="00406171" w:rsidRPr="002666CD">
        <w:rPr>
          <w:rFonts w:ascii="Book Antiqua" w:hAnsi="Book Antiqua" w:cs="Times New Roman"/>
          <w:sz w:val="24"/>
        </w:rPr>
        <w:t xml:space="preserve"> kısa anlaşılır </w:t>
      </w:r>
      <w:r w:rsidR="00137FE6" w:rsidRPr="002666CD">
        <w:rPr>
          <w:rFonts w:ascii="Book Antiqua" w:hAnsi="Book Antiqua" w:cs="Times New Roman"/>
          <w:sz w:val="24"/>
        </w:rPr>
        <w:t>bir dille işlenmelidir.</w:t>
      </w:r>
      <w:r w:rsidR="00406171" w:rsidRPr="002666CD">
        <w:rPr>
          <w:rFonts w:ascii="Book Antiqua" w:hAnsi="Book Antiqua" w:cs="Times New Roman"/>
          <w:sz w:val="24"/>
        </w:rPr>
        <w:t xml:space="preserve">  </w:t>
      </w:r>
    </w:p>
    <w:p w:rsidR="00112721" w:rsidRPr="00112721" w:rsidRDefault="00112721" w:rsidP="00112721">
      <w:pPr>
        <w:pStyle w:val="ListeParagraf"/>
        <w:numPr>
          <w:ilvl w:val="0"/>
          <w:numId w:val="1"/>
        </w:numPr>
        <w:spacing w:before="240" w:line="360" w:lineRule="auto"/>
        <w:jc w:val="both"/>
        <w:rPr>
          <w:rFonts w:ascii="Book Antiqua" w:hAnsi="Book Antiqua" w:cs="Times New Roman"/>
          <w:b/>
          <w:sz w:val="24"/>
        </w:rPr>
      </w:pPr>
      <w:r w:rsidRPr="00112721">
        <w:rPr>
          <w:rFonts w:ascii="Book Antiqua" w:hAnsi="Book Antiqua" w:cs="Times New Roman"/>
          <w:b/>
          <w:sz w:val="24"/>
        </w:rPr>
        <w:t>Performans göstergesi gerçekleşme oranlarının hesaplanması</w:t>
      </w:r>
    </w:p>
    <w:p w:rsidR="00112721" w:rsidRDefault="00112721" w:rsidP="002666CD">
      <w:pPr>
        <w:spacing w:before="240" w:line="360" w:lineRule="auto"/>
        <w:ind w:firstLine="708"/>
        <w:jc w:val="both"/>
        <w:rPr>
          <w:rFonts w:ascii="Book Antiqua" w:hAnsi="Book Antiqua" w:cs="Times New Roman"/>
          <w:sz w:val="24"/>
        </w:rPr>
      </w:pPr>
      <w:r>
        <w:rPr>
          <w:rFonts w:ascii="Book Antiqua" w:hAnsi="Book Antiqua" w:cs="Times New Roman"/>
          <w:sz w:val="24"/>
        </w:rPr>
        <w:t>Bu kısımda ilgili performans göstergesinin 2019 yılı hedefine ne oranda ulaşıldığı araştırılmaktadır. Aşağıdaki formül doğrultusunda örneklerle açıklanan yönteme göre belirlenen gerçekleşme oranları tabloların “gerçekleşme” kısmına girilmelidir.</w:t>
      </w:r>
    </w:p>
    <w:p w:rsidR="009C496D" w:rsidRPr="009C496D" w:rsidRDefault="00112721" w:rsidP="009C496D">
      <w:pPr>
        <w:spacing w:before="240" w:line="360" w:lineRule="auto"/>
        <w:ind w:firstLine="708"/>
        <w:jc w:val="both"/>
        <w:rPr>
          <w:rFonts w:ascii="Book Antiqua" w:eastAsiaTheme="minorEastAsia" w:hAnsi="Book Antiqua" w:cs="Times New Roman"/>
          <w:sz w:val="24"/>
        </w:rPr>
      </w:pPr>
      <m:oMathPara>
        <m:oMath>
          <m:r>
            <m:rPr>
              <m:sty m:val="p"/>
            </m:rPr>
            <w:rPr>
              <w:rFonts w:ascii="Cambria Math" w:hAnsi="Cambria Math" w:cs="Times New Roman"/>
              <w:sz w:val="24"/>
            </w:rPr>
            <m:t>2019 gös. hed. ulaşma oranı=</m:t>
          </m:r>
          <m:f>
            <m:fPr>
              <m:ctrlPr>
                <w:rPr>
                  <w:rFonts w:ascii="Cambria Math" w:hAnsi="Cambria Math" w:cs="Times New Roman"/>
                  <w:sz w:val="24"/>
                </w:rPr>
              </m:ctrlPr>
            </m:fPr>
            <m:num>
              <m:r>
                <m:rPr>
                  <m:sty m:val="p"/>
                </m:rPr>
                <w:rPr>
                  <w:rFonts w:ascii="Cambria Math" w:hAnsi="Cambria Math" w:cs="Times New Roman"/>
                  <w:sz w:val="24"/>
                </w:rPr>
                <m:t>2018 gerç. dur.-2014 gerç. dur.</m:t>
              </m:r>
            </m:num>
            <m:den>
              <m:r>
                <m:rPr>
                  <m:sty m:val="p"/>
                </m:rPr>
                <w:rPr>
                  <w:rFonts w:ascii="Cambria Math" w:hAnsi="Cambria Math" w:cs="Times New Roman"/>
                  <w:sz w:val="24"/>
                </w:rPr>
                <m:t>2019 gös. hed.-2014 gerç. dur.</m:t>
              </m:r>
            </m:den>
          </m:f>
          <m:r>
            <m:rPr>
              <m:sty m:val="p"/>
            </m:rPr>
            <w:rPr>
              <w:rFonts w:ascii="Cambria Math" w:hAnsi="Cambria Math" w:cs="Times New Roman"/>
              <w:sz w:val="24"/>
            </w:rPr>
            <m:t>×100</m:t>
          </m:r>
        </m:oMath>
      </m:oMathPara>
    </w:p>
    <w:p w:rsidR="009C496D" w:rsidRPr="00792B5E" w:rsidRDefault="009C496D" w:rsidP="009C496D">
      <w:pPr>
        <w:rPr>
          <w:rFonts w:ascii="Book Antiqua" w:hAnsi="Book Antiqua"/>
          <w:b/>
          <w:i/>
          <w:color w:val="C45911" w:themeColor="accent2" w:themeShade="BF"/>
          <w:sz w:val="24"/>
        </w:rPr>
      </w:pPr>
      <w:r w:rsidRPr="00792B5E">
        <w:rPr>
          <w:rFonts w:ascii="Book Antiqua" w:hAnsi="Book Antiqua"/>
          <w:b/>
          <w:i/>
          <w:color w:val="C45911" w:themeColor="accent2" w:themeShade="BF"/>
          <w:sz w:val="24"/>
        </w:rPr>
        <w:t xml:space="preserve">Performans Göstergesi Gerçekleşme Durumlarının Hesaplama Yöntemine Örnek </w:t>
      </w:r>
    </w:p>
    <w:p w:rsidR="009C496D" w:rsidRDefault="009C496D" w:rsidP="005F7A53">
      <w:pPr>
        <w:spacing w:line="360" w:lineRule="auto"/>
        <w:ind w:firstLine="708"/>
        <w:jc w:val="both"/>
        <w:rPr>
          <w:rFonts w:ascii="Book Antiqua" w:hAnsi="Book Antiqua"/>
          <w:sz w:val="24"/>
        </w:rPr>
      </w:pPr>
      <w:r w:rsidRPr="009C496D">
        <w:rPr>
          <w:rFonts w:ascii="Book Antiqua" w:hAnsi="Book Antiqua"/>
          <w:sz w:val="24"/>
        </w:rPr>
        <w:t xml:space="preserve">Performans göstergesi gerçekleşme durumlarının hesaplama yöntemine örnek teşkil etmesi açısından aşağıdaki tablo oluşturulmuş ve bu tabloya dayanılarak yapılan hesaplamalar açıklanmıştır. Söz konusu hesaplamalar tek tek yapılabileceği gibi </w:t>
      </w:r>
      <w:proofErr w:type="spellStart"/>
      <w:r w:rsidRPr="009C496D">
        <w:rPr>
          <w:rFonts w:ascii="Book Antiqua" w:hAnsi="Book Antiqua"/>
          <w:sz w:val="24"/>
        </w:rPr>
        <w:t>excel</w:t>
      </w:r>
      <w:proofErr w:type="spellEnd"/>
      <w:r w:rsidRPr="009C496D">
        <w:rPr>
          <w:rFonts w:ascii="Book Antiqua" w:hAnsi="Book Antiqua"/>
          <w:sz w:val="24"/>
        </w:rPr>
        <w:t xml:space="preserve"> programında formül oluşturularak da yapılabilir. Gerçekleştirilecek hesaplamaların doğruluğu sonraki aşamalarda gerçekleşme durumlarına göre yapılacak analiz ve değerlendirmeler için temel teşkil edeceğinden üzerinde hassasiyetle durulmalıdır. </w:t>
      </w:r>
    </w:p>
    <w:p w:rsidR="005248A1" w:rsidRPr="005248A1" w:rsidRDefault="005248A1" w:rsidP="009C496D">
      <w:pPr>
        <w:spacing w:line="360" w:lineRule="auto"/>
        <w:jc w:val="both"/>
        <w:rPr>
          <w:rFonts w:ascii="Book Antiqua" w:hAnsi="Book Antiqua"/>
          <w:b/>
          <w:sz w:val="24"/>
        </w:rPr>
      </w:pPr>
      <w:r w:rsidRPr="005248A1">
        <w:rPr>
          <w:rFonts w:ascii="Book Antiqua" w:hAnsi="Book Antiqua"/>
          <w:b/>
          <w:sz w:val="24"/>
        </w:rPr>
        <w:t>X faaliyet alanı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3"/>
        <w:gridCol w:w="871"/>
        <w:gridCol w:w="850"/>
        <w:gridCol w:w="775"/>
        <w:gridCol w:w="742"/>
        <w:gridCol w:w="893"/>
        <w:gridCol w:w="850"/>
        <w:gridCol w:w="965"/>
        <w:gridCol w:w="1373"/>
      </w:tblGrid>
      <w:tr w:rsidR="009C496D" w:rsidRPr="00831C30" w:rsidTr="00280B68">
        <w:trPr>
          <w:trHeight w:val="539"/>
          <w:jc w:val="center"/>
        </w:trPr>
        <w:tc>
          <w:tcPr>
            <w:tcW w:w="1893" w:type="dxa"/>
            <w:shd w:val="clear" w:color="000000" w:fill="FFFFFF"/>
            <w:vAlign w:val="center"/>
          </w:tcPr>
          <w:p w:rsidR="009C496D" w:rsidRPr="00831C30" w:rsidRDefault="009C496D" w:rsidP="00280B68">
            <w:pPr>
              <w:spacing w:after="0"/>
              <w:rPr>
                <w:rFonts w:ascii="Book Antiqua" w:eastAsia="Times New Roman" w:hAnsi="Book Antiqua" w:cs="Times New Roman"/>
                <w:lang w:eastAsia="tr-TR"/>
              </w:rPr>
            </w:pPr>
            <w:r w:rsidRPr="00831C30">
              <w:rPr>
                <w:rFonts w:ascii="Book Antiqua" w:eastAsia="Times New Roman" w:hAnsi="Book Antiqua" w:cs="Times New Roman"/>
                <w:lang w:eastAsia="tr-TR"/>
              </w:rPr>
              <w:t>Performans göstergesi</w:t>
            </w:r>
          </w:p>
        </w:tc>
        <w:tc>
          <w:tcPr>
            <w:tcW w:w="871" w:type="dxa"/>
            <w:shd w:val="clear" w:color="000000" w:fill="FFFFFF"/>
            <w:vAlign w:val="center"/>
          </w:tcPr>
          <w:p w:rsidR="009C496D" w:rsidRPr="00831C30" w:rsidRDefault="009C496D" w:rsidP="00280B68">
            <w:pPr>
              <w:spacing w:after="0"/>
              <w:jc w:val="center"/>
              <w:rPr>
                <w:rFonts w:ascii="Times New Roman" w:eastAsia="Times New Roman" w:hAnsi="Times New Roman" w:cs="Times New Roman"/>
                <w:b/>
                <w:bCs/>
                <w:lang w:eastAsia="tr-TR"/>
              </w:rPr>
            </w:pPr>
            <w:r w:rsidRPr="00831C30">
              <w:rPr>
                <w:rFonts w:ascii="Times New Roman" w:eastAsia="Times New Roman" w:hAnsi="Times New Roman" w:cs="Times New Roman"/>
                <w:b/>
                <w:bCs/>
                <w:lang w:eastAsia="tr-TR"/>
              </w:rPr>
              <w:t>2012</w:t>
            </w:r>
          </w:p>
        </w:tc>
        <w:tc>
          <w:tcPr>
            <w:tcW w:w="850" w:type="dxa"/>
            <w:shd w:val="clear" w:color="000000" w:fill="FFFFFF"/>
            <w:vAlign w:val="center"/>
          </w:tcPr>
          <w:p w:rsidR="009C496D" w:rsidRPr="00831C30" w:rsidRDefault="009C496D" w:rsidP="00280B68">
            <w:pPr>
              <w:spacing w:after="0"/>
              <w:jc w:val="center"/>
              <w:rPr>
                <w:rFonts w:ascii="Times New Roman" w:eastAsia="Times New Roman" w:hAnsi="Times New Roman" w:cs="Times New Roman"/>
                <w:b/>
                <w:bCs/>
                <w:lang w:eastAsia="tr-TR"/>
              </w:rPr>
            </w:pPr>
            <w:r w:rsidRPr="00831C30">
              <w:rPr>
                <w:rFonts w:ascii="Times New Roman" w:eastAsia="Times New Roman" w:hAnsi="Times New Roman" w:cs="Times New Roman"/>
                <w:b/>
                <w:bCs/>
                <w:lang w:eastAsia="tr-TR"/>
              </w:rPr>
              <w:t>2013</w:t>
            </w:r>
          </w:p>
        </w:tc>
        <w:tc>
          <w:tcPr>
            <w:tcW w:w="775" w:type="dxa"/>
            <w:shd w:val="clear" w:color="000000" w:fill="FFFFFF"/>
            <w:vAlign w:val="center"/>
          </w:tcPr>
          <w:p w:rsidR="009C496D" w:rsidRPr="00831C30" w:rsidRDefault="009C496D" w:rsidP="00280B68">
            <w:pPr>
              <w:spacing w:after="0"/>
              <w:jc w:val="center"/>
              <w:rPr>
                <w:rFonts w:ascii="Times New Roman" w:eastAsia="Times New Roman" w:hAnsi="Times New Roman" w:cs="Times New Roman"/>
                <w:b/>
                <w:bCs/>
                <w:lang w:eastAsia="tr-TR"/>
              </w:rPr>
            </w:pPr>
            <w:r w:rsidRPr="00831C30">
              <w:rPr>
                <w:rFonts w:ascii="Times New Roman" w:eastAsia="Times New Roman" w:hAnsi="Times New Roman" w:cs="Times New Roman"/>
                <w:b/>
                <w:bCs/>
                <w:lang w:eastAsia="tr-TR"/>
              </w:rPr>
              <w:t xml:space="preserve">2014 </w:t>
            </w:r>
          </w:p>
        </w:tc>
        <w:tc>
          <w:tcPr>
            <w:tcW w:w="742" w:type="dxa"/>
            <w:shd w:val="clear" w:color="000000" w:fill="FFFFFF"/>
            <w:vAlign w:val="center"/>
          </w:tcPr>
          <w:p w:rsidR="009C496D" w:rsidRPr="00831C30" w:rsidRDefault="009C496D" w:rsidP="00280B68">
            <w:pPr>
              <w:spacing w:after="0"/>
              <w:jc w:val="center"/>
              <w:rPr>
                <w:rFonts w:ascii="Times New Roman" w:eastAsia="Times New Roman" w:hAnsi="Times New Roman" w:cs="Times New Roman"/>
                <w:b/>
                <w:bCs/>
                <w:lang w:eastAsia="tr-TR"/>
              </w:rPr>
            </w:pPr>
            <w:r w:rsidRPr="00831C30">
              <w:rPr>
                <w:rFonts w:ascii="Times New Roman" w:eastAsia="Times New Roman" w:hAnsi="Times New Roman" w:cs="Times New Roman"/>
                <w:b/>
                <w:bCs/>
                <w:lang w:eastAsia="tr-TR"/>
              </w:rPr>
              <w:t>2015</w:t>
            </w:r>
          </w:p>
        </w:tc>
        <w:tc>
          <w:tcPr>
            <w:tcW w:w="893" w:type="dxa"/>
            <w:shd w:val="clear" w:color="000000" w:fill="FFFFFF"/>
            <w:vAlign w:val="center"/>
          </w:tcPr>
          <w:p w:rsidR="009C496D" w:rsidRPr="00831C30" w:rsidRDefault="009C496D" w:rsidP="00280B68">
            <w:pPr>
              <w:spacing w:after="0"/>
              <w:jc w:val="center"/>
              <w:rPr>
                <w:rFonts w:ascii="Times New Roman" w:eastAsia="Times New Roman" w:hAnsi="Times New Roman" w:cs="Times New Roman"/>
                <w:b/>
                <w:bCs/>
                <w:lang w:eastAsia="tr-TR"/>
              </w:rPr>
            </w:pPr>
            <w:r w:rsidRPr="00831C30">
              <w:rPr>
                <w:rFonts w:ascii="Times New Roman" w:eastAsia="Times New Roman" w:hAnsi="Times New Roman" w:cs="Times New Roman"/>
                <w:b/>
                <w:bCs/>
                <w:lang w:eastAsia="tr-TR"/>
              </w:rPr>
              <w:t>2016</w:t>
            </w:r>
          </w:p>
        </w:tc>
        <w:tc>
          <w:tcPr>
            <w:tcW w:w="850" w:type="dxa"/>
            <w:shd w:val="clear" w:color="000000" w:fill="FFFFFF"/>
            <w:vAlign w:val="center"/>
          </w:tcPr>
          <w:p w:rsidR="009C496D" w:rsidRPr="00831C30" w:rsidRDefault="009C496D" w:rsidP="00280B68">
            <w:pPr>
              <w:spacing w:after="0"/>
              <w:jc w:val="center"/>
              <w:rPr>
                <w:rFonts w:ascii="Times New Roman" w:eastAsia="Times New Roman" w:hAnsi="Times New Roman" w:cs="Times New Roman"/>
                <w:b/>
                <w:bCs/>
                <w:lang w:eastAsia="tr-TR"/>
              </w:rPr>
            </w:pPr>
            <w:r w:rsidRPr="00831C30">
              <w:rPr>
                <w:rFonts w:ascii="Times New Roman" w:eastAsia="Times New Roman" w:hAnsi="Times New Roman" w:cs="Times New Roman"/>
                <w:b/>
                <w:bCs/>
                <w:lang w:eastAsia="tr-TR"/>
              </w:rPr>
              <w:t>2018</w:t>
            </w:r>
          </w:p>
        </w:tc>
        <w:tc>
          <w:tcPr>
            <w:tcW w:w="965" w:type="dxa"/>
            <w:shd w:val="clear" w:color="000000" w:fill="FFFFFF"/>
            <w:vAlign w:val="center"/>
          </w:tcPr>
          <w:p w:rsidR="009C496D" w:rsidRPr="00831C30" w:rsidRDefault="009C496D" w:rsidP="00280B68">
            <w:pPr>
              <w:spacing w:after="0"/>
              <w:jc w:val="center"/>
              <w:rPr>
                <w:rFonts w:ascii="Times New Roman" w:eastAsia="Times New Roman" w:hAnsi="Times New Roman" w:cs="Times New Roman"/>
                <w:b/>
                <w:bCs/>
                <w:lang w:eastAsia="tr-TR"/>
              </w:rPr>
            </w:pPr>
            <w:r w:rsidRPr="00831C30">
              <w:rPr>
                <w:rFonts w:ascii="Times New Roman" w:eastAsia="Times New Roman" w:hAnsi="Times New Roman" w:cs="Times New Roman"/>
                <w:b/>
                <w:bCs/>
                <w:lang w:eastAsia="tr-TR"/>
              </w:rPr>
              <w:t>2019 Hedefi</w:t>
            </w:r>
          </w:p>
        </w:tc>
        <w:tc>
          <w:tcPr>
            <w:tcW w:w="1373" w:type="dxa"/>
            <w:shd w:val="clear" w:color="000000" w:fill="C6E0B4"/>
            <w:noWrap/>
            <w:vAlign w:val="center"/>
          </w:tcPr>
          <w:p w:rsidR="009C496D" w:rsidRPr="00831C30" w:rsidRDefault="009C496D" w:rsidP="00280B68">
            <w:pPr>
              <w:spacing w:after="0"/>
              <w:jc w:val="center"/>
              <w:rPr>
                <w:rFonts w:ascii="Times New Roman" w:eastAsia="Times New Roman" w:hAnsi="Times New Roman" w:cs="Times New Roman"/>
                <w:b/>
                <w:bCs/>
                <w:lang w:eastAsia="tr-TR"/>
              </w:rPr>
            </w:pPr>
            <w:r w:rsidRPr="00831C30">
              <w:rPr>
                <w:rFonts w:ascii="Times New Roman" w:eastAsia="Times New Roman" w:hAnsi="Times New Roman" w:cs="Times New Roman"/>
                <w:b/>
                <w:bCs/>
                <w:lang w:eastAsia="tr-TR"/>
              </w:rPr>
              <w:t>Gerçekleşme</w:t>
            </w:r>
            <w:r w:rsidRPr="00831C30">
              <w:rPr>
                <w:rFonts w:ascii="Times New Roman" w:eastAsia="Times New Roman" w:hAnsi="Times New Roman" w:cs="Times New Roman"/>
                <w:b/>
                <w:bCs/>
                <w:lang w:eastAsia="tr-TR"/>
              </w:rPr>
              <w:br/>
              <w:t>Oranı (%)</w:t>
            </w:r>
          </w:p>
        </w:tc>
      </w:tr>
      <w:tr w:rsidR="009C496D" w:rsidRPr="00831C30" w:rsidTr="00280B68">
        <w:trPr>
          <w:trHeight w:val="539"/>
          <w:jc w:val="center"/>
        </w:trPr>
        <w:tc>
          <w:tcPr>
            <w:tcW w:w="1893" w:type="dxa"/>
            <w:shd w:val="clear" w:color="000000" w:fill="FFFFFF"/>
            <w:vAlign w:val="center"/>
          </w:tcPr>
          <w:p w:rsidR="009C496D" w:rsidRPr="00831C30" w:rsidRDefault="009C496D" w:rsidP="00280B68">
            <w:pPr>
              <w:spacing w:after="0"/>
              <w:rPr>
                <w:rFonts w:ascii="Book Antiqua" w:eastAsia="Times New Roman" w:hAnsi="Book Antiqua" w:cs="Times New Roman"/>
                <w:lang w:eastAsia="tr-TR"/>
              </w:rPr>
            </w:pPr>
            <w:r w:rsidRPr="00831C30">
              <w:rPr>
                <w:rFonts w:ascii="Book Antiqua" w:eastAsia="Times New Roman" w:hAnsi="Book Antiqua" w:cs="Times New Roman"/>
                <w:lang w:eastAsia="tr-TR"/>
              </w:rPr>
              <w:t>A oranı (%)</w:t>
            </w:r>
          </w:p>
        </w:tc>
        <w:tc>
          <w:tcPr>
            <w:tcW w:w="871"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98,67</w:t>
            </w:r>
          </w:p>
        </w:tc>
        <w:tc>
          <w:tcPr>
            <w:tcW w:w="850"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98,86</w:t>
            </w:r>
          </w:p>
        </w:tc>
        <w:tc>
          <w:tcPr>
            <w:tcW w:w="775"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99,57</w:t>
            </w:r>
          </w:p>
        </w:tc>
        <w:tc>
          <w:tcPr>
            <w:tcW w:w="742"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96,3</w:t>
            </w:r>
          </w:p>
        </w:tc>
        <w:tc>
          <w:tcPr>
            <w:tcW w:w="893"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94,87</w:t>
            </w:r>
          </w:p>
        </w:tc>
        <w:tc>
          <w:tcPr>
            <w:tcW w:w="850"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98,13</w:t>
            </w:r>
          </w:p>
        </w:tc>
        <w:tc>
          <w:tcPr>
            <w:tcW w:w="965"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100</w:t>
            </w:r>
          </w:p>
        </w:tc>
        <w:tc>
          <w:tcPr>
            <w:tcW w:w="1373" w:type="dxa"/>
            <w:shd w:val="clear" w:color="000000" w:fill="C6E0B4"/>
            <w:noWrap/>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-334,88</w:t>
            </w:r>
          </w:p>
        </w:tc>
      </w:tr>
      <w:tr w:rsidR="009C496D" w:rsidRPr="00831C30" w:rsidTr="00280B68">
        <w:trPr>
          <w:trHeight w:val="547"/>
          <w:jc w:val="center"/>
        </w:trPr>
        <w:tc>
          <w:tcPr>
            <w:tcW w:w="1893" w:type="dxa"/>
            <w:shd w:val="clear" w:color="000000" w:fill="FFFFFF"/>
            <w:vAlign w:val="center"/>
          </w:tcPr>
          <w:p w:rsidR="009C496D" w:rsidRPr="00831C30" w:rsidRDefault="009C496D" w:rsidP="00280B68">
            <w:pPr>
              <w:spacing w:after="0"/>
              <w:rPr>
                <w:rFonts w:ascii="Book Antiqua" w:eastAsia="Times New Roman" w:hAnsi="Book Antiqua" w:cs="Times New Roman"/>
                <w:lang w:eastAsia="tr-TR"/>
              </w:rPr>
            </w:pPr>
            <w:r w:rsidRPr="00831C30">
              <w:rPr>
                <w:rFonts w:ascii="Book Antiqua" w:eastAsia="Times New Roman" w:hAnsi="Book Antiqua" w:cs="Times New Roman"/>
                <w:lang w:eastAsia="tr-TR"/>
              </w:rPr>
              <w:t>B oranı (%)</w:t>
            </w:r>
          </w:p>
        </w:tc>
        <w:tc>
          <w:tcPr>
            <w:tcW w:w="871"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98,67</w:t>
            </w:r>
          </w:p>
        </w:tc>
        <w:tc>
          <w:tcPr>
            <w:tcW w:w="850"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93,09</w:t>
            </w:r>
          </w:p>
        </w:tc>
        <w:tc>
          <w:tcPr>
            <w:tcW w:w="775"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94,52</w:t>
            </w:r>
          </w:p>
        </w:tc>
        <w:tc>
          <w:tcPr>
            <w:tcW w:w="742"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 </w:t>
            </w:r>
          </w:p>
        </w:tc>
        <w:tc>
          <w:tcPr>
            <w:tcW w:w="893"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94,39</w:t>
            </w:r>
          </w:p>
        </w:tc>
        <w:tc>
          <w:tcPr>
            <w:tcW w:w="850"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99,23</w:t>
            </w:r>
          </w:p>
        </w:tc>
        <w:tc>
          <w:tcPr>
            <w:tcW w:w="965" w:type="dxa"/>
            <w:shd w:val="clear" w:color="000000" w:fill="FFFFFF"/>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100</w:t>
            </w:r>
          </w:p>
        </w:tc>
        <w:tc>
          <w:tcPr>
            <w:tcW w:w="1373" w:type="dxa"/>
            <w:shd w:val="clear" w:color="000000" w:fill="C6E0B4"/>
            <w:noWrap/>
            <w:vAlign w:val="center"/>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85,95</w:t>
            </w:r>
          </w:p>
        </w:tc>
      </w:tr>
      <w:tr w:rsidR="009C496D" w:rsidRPr="00831C30" w:rsidTr="00280B68">
        <w:trPr>
          <w:trHeight w:val="556"/>
          <w:jc w:val="center"/>
        </w:trPr>
        <w:tc>
          <w:tcPr>
            <w:tcW w:w="1893" w:type="dxa"/>
            <w:shd w:val="clear" w:color="000000" w:fill="FFFFFF"/>
            <w:vAlign w:val="center"/>
            <w:hideMark/>
          </w:tcPr>
          <w:p w:rsidR="009C496D" w:rsidRPr="00831C30" w:rsidRDefault="009C496D" w:rsidP="00280B68">
            <w:pPr>
              <w:spacing w:after="0"/>
              <w:rPr>
                <w:rFonts w:ascii="Book Antiqua" w:eastAsia="Times New Roman" w:hAnsi="Book Antiqua" w:cs="Times New Roman"/>
                <w:lang w:eastAsia="tr-TR"/>
              </w:rPr>
            </w:pPr>
            <w:r w:rsidRPr="00831C30">
              <w:rPr>
                <w:rFonts w:ascii="Book Antiqua" w:eastAsia="Times New Roman" w:hAnsi="Book Antiqua" w:cs="Times New Roman"/>
                <w:lang w:eastAsia="tr-TR"/>
              </w:rPr>
              <w:t>C oranı (%)</w:t>
            </w:r>
          </w:p>
        </w:tc>
        <w:tc>
          <w:tcPr>
            <w:tcW w:w="871" w:type="dxa"/>
            <w:shd w:val="clear" w:color="000000" w:fill="FFFFFF"/>
            <w:vAlign w:val="center"/>
            <w:hideMark/>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3,62</w:t>
            </w:r>
          </w:p>
        </w:tc>
        <w:tc>
          <w:tcPr>
            <w:tcW w:w="850" w:type="dxa"/>
            <w:shd w:val="clear" w:color="000000" w:fill="FFFFFF"/>
            <w:vAlign w:val="center"/>
            <w:hideMark/>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3,34</w:t>
            </w:r>
          </w:p>
        </w:tc>
        <w:tc>
          <w:tcPr>
            <w:tcW w:w="775" w:type="dxa"/>
            <w:shd w:val="clear" w:color="000000" w:fill="FFFFFF"/>
            <w:vAlign w:val="center"/>
            <w:hideMark/>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4,78</w:t>
            </w:r>
          </w:p>
        </w:tc>
        <w:tc>
          <w:tcPr>
            <w:tcW w:w="742" w:type="dxa"/>
            <w:shd w:val="clear" w:color="000000" w:fill="FFFFFF"/>
            <w:vAlign w:val="center"/>
            <w:hideMark/>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5,69</w:t>
            </w:r>
          </w:p>
        </w:tc>
        <w:tc>
          <w:tcPr>
            <w:tcW w:w="893" w:type="dxa"/>
            <w:shd w:val="clear" w:color="000000" w:fill="FFFFFF"/>
            <w:vAlign w:val="center"/>
            <w:hideMark/>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13,17</w:t>
            </w:r>
          </w:p>
        </w:tc>
        <w:tc>
          <w:tcPr>
            <w:tcW w:w="850" w:type="dxa"/>
            <w:shd w:val="clear" w:color="000000" w:fill="FFFFFF"/>
            <w:vAlign w:val="center"/>
            <w:hideMark/>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14,80</w:t>
            </w:r>
          </w:p>
        </w:tc>
        <w:tc>
          <w:tcPr>
            <w:tcW w:w="965" w:type="dxa"/>
            <w:shd w:val="clear" w:color="000000" w:fill="FFFFFF"/>
            <w:vAlign w:val="center"/>
            <w:hideMark/>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12</w:t>
            </w:r>
          </w:p>
        </w:tc>
        <w:tc>
          <w:tcPr>
            <w:tcW w:w="1373" w:type="dxa"/>
            <w:shd w:val="clear" w:color="000000" w:fill="C6E0B4"/>
            <w:noWrap/>
            <w:vAlign w:val="center"/>
            <w:hideMark/>
          </w:tcPr>
          <w:p w:rsidR="009C496D" w:rsidRPr="00831C30" w:rsidRDefault="009C496D" w:rsidP="00280B68">
            <w:pPr>
              <w:spacing w:after="0"/>
              <w:jc w:val="center"/>
              <w:rPr>
                <w:rFonts w:ascii="Book Antiqua" w:eastAsia="Times New Roman" w:hAnsi="Book Antiqua" w:cs="Times New Roman"/>
                <w:lang w:eastAsia="tr-TR"/>
              </w:rPr>
            </w:pPr>
            <w:r w:rsidRPr="00831C30">
              <w:rPr>
                <w:rFonts w:ascii="Book Antiqua" w:eastAsia="Times New Roman" w:hAnsi="Book Antiqua" w:cs="Times New Roman"/>
                <w:lang w:eastAsia="tr-TR"/>
              </w:rPr>
              <w:t>138,78</w:t>
            </w:r>
          </w:p>
        </w:tc>
      </w:tr>
    </w:tbl>
    <w:p w:rsidR="009C496D" w:rsidRPr="009C496D" w:rsidRDefault="009C496D" w:rsidP="005F7A53">
      <w:pPr>
        <w:spacing w:line="360" w:lineRule="auto"/>
        <w:ind w:firstLine="708"/>
        <w:jc w:val="both"/>
        <w:rPr>
          <w:rFonts w:ascii="Book Antiqua" w:hAnsi="Book Antiqua"/>
          <w:sz w:val="24"/>
        </w:rPr>
      </w:pPr>
      <w:r w:rsidRPr="009C496D">
        <w:rPr>
          <w:rFonts w:ascii="Book Antiqua" w:hAnsi="Book Antiqua"/>
          <w:sz w:val="24"/>
        </w:rPr>
        <w:lastRenderedPageBreak/>
        <w:t>A oranı göstergesi için hesaplama aşağıdaki adımları takip edecektir:</w:t>
      </w:r>
    </w:p>
    <w:p w:rsidR="009C496D" w:rsidRPr="009C496D" w:rsidRDefault="009C496D" w:rsidP="009C496D">
      <w:pPr>
        <w:spacing w:before="240" w:line="360" w:lineRule="auto"/>
        <w:ind w:firstLine="708"/>
        <w:jc w:val="both"/>
        <w:rPr>
          <w:rFonts w:ascii="Book Antiqua" w:eastAsia="Calibri" w:hAnsi="Book Antiqua" w:cs="Times New Roman"/>
          <w:sz w:val="24"/>
        </w:rPr>
      </w:pPr>
      <m:oMathPara>
        <m:oMath>
          <m:r>
            <w:rPr>
              <w:rFonts w:ascii="Cambria Math" w:eastAsia="Calibri" w:hAnsi="Cambria Math" w:cs="Times New Roman"/>
              <w:sz w:val="24"/>
            </w:rPr>
            <m:t>2</m:t>
          </m:r>
          <m:r>
            <m:rPr>
              <m:sty m:val="p"/>
            </m:rPr>
            <w:rPr>
              <w:rFonts w:ascii="Cambria Math" w:eastAsia="Calibri" w:hAnsi="Cambria Math" w:cs="Times New Roman"/>
              <w:sz w:val="24"/>
            </w:rPr>
            <m:t>019 gös. hed. ulaşma oranı=(</m:t>
          </m:r>
          <m:f>
            <m:fPr>
              <m:ctrlPr>
                <w:rPr>
                  <w:rFonts w:ascii="Cambria Math" w:eastAsia="Calibri" w:hAnsi="Cambria Math" w:cs="Times New Roman"/>
                  <w:sz w:val="24"/>
                </w:rPr>
              </m:ctrlPr>
            </m:fPr>
            <m:num>
              <m:r>
                <m:rPr>
                  <m:sty m:val="p"/>
                </m:rPr>
                <w:rPr>
                  <w:rFonts w:ascii="Cambria Math" w:eastAsia="Calibri" w:hAnsi="Cambria Math" w:cs="Times New Roman"/>
                  <w:sz w:val="24"/>
                </w:rPr>
                <m:t>2018 gerç. dur.-2014 gerç. dur.</m:t>
              </m:r>
            </m:num>
            <m:den>
              <m:r>
                <m:rPr>
                  <m:sty m:val="p"/>
                </m:rPr>
                <w:rPr>
                  <w:rFonts w:ascii="Cambria Math" w:eastAsia="Calibri" w:hAnsi="Cambria Math" w:cs="Times New Roman"/>
                  <w:sz w:val="24"/>
                </w:rPr>
                <m:t>2019 gös. hed.-2014 gerç. dur.</m:t>
              </m:r>
            </m:den>
          </m:f>
          <m:r>
            <m:rPr>
              <m:sty m:val="p"/>
            </m:rPr>
            <w:rPr>
              <w:rFonts w:ascii="Cambria Math" w:eastAsia="Calibri" w:hAnsi="Cambria Math" w:cs="Times New Roman"/>
              <w:sz w:val="24"/>
            </w:rPr>
            <m:t>)×100</m:t>
          </m:r>
        </m:oMath>
      </m:oMathPara>
    </w:p>
    <w:p w:rsidR="009C496D" w:rsidRPr="009C496D" w:rsidRDefault="009C496D" w:rsidP="009C496D">
      <w:pPr>
        <w:spacing w:line="360" w:lineRule="auto"/>
        <w:rPr>
          <w:rFonts w:ascii="Book Antiqua" w:hAnsi="Book Antiqua"/>
          <w:sz w:val="24"/>
        </w:rPr>
      </w:pPr>
      <w:r w:rsidRPr="009C496D">
        <w:rPr>
          <w:rFonts w:ascii="Book Antiqua" w:hAnsi="Book Antiqua"/>
          <w:sz w:val="24"/>
        </w:rPr>
        <w:t>2018 gerçekleşme durumu= 98,13</w:t>
      </w:r>
    </w:p>
    <w:p w:rsidR="009C496D" w:rsidRPr="009C496D" w:rsidRDefault="009C496D" w:rsidP="009C496D">
      <w:pPr>
        <w:spacing w:line="360" w:lineRule="auto"/>
        <w:rPr>
          <w:rFonts w:ascii="Book Antiqua" w:hAnsi="Book Antiqua"/>
          <w:sz w:val="24"/>
        </w:rPr>
      </w:pPr>
      <w:r w:rsidRPr="009C496D">
        <w:rPr>
          <w:rFonts w:ascii="Book Antiqua" w:hAnsi="Book Antiqua"/>
          <w:sz w:val="24"/>
        </w:rPr>
        <w:t>2014 gerçekleşme durumu= 99,57</w:t>
      </w:r>
    </w:p>
    <w:p w:rsidR="009C496D" w:rsidRPr="009C496D" w:rsidRDefault="009C496D" w:rsidP="009C496D">
      <w:pPr>
        <w:spacing w:line="360" w:lineRule="auto"/>
        <w:rPr>
          <w:rFonts w:ascii="Book Antiqua" w:hAnsi="Book Antiqua"/>
          <w:sz w:val="24"/>
        </w:rPr>
      </w:pPr>
      <w:r w:rsidRPr="009C496D">
        <w:rPr>
          <w:rFonts w:ascii="Book Antiqua" w:hAnsi="Book Antiqua"/>
          <w:sz w:val="24"/>
        </w:rPr>
        <w:t>2019 gösterge hedefi= 100</w:t>
      </w:r>
    </w:p>
    <w:p w:rsidR="009C496D" w:rsidRPr="009C496D" w:rsidRDefault="009C496D" w:rsidP="009C496D">
      <w:pPr>
        <w:spacing w:line="360" w:lineRule="auto"/>
        <w:rPr>
          <w:rFonts w:ascii="Book Antiqua" w:hAnsi="Book Antiqua"/>
          <w:sz w:val="24"/>
        </w:rPr>
      </w:pPr>
      <w:r w:rsidRPr="009C496D">
        <w:rPr>
          <w:rFonts w:ascii="Book Antiqua" w:hAnsi="Book Antiqua"/>
          <w:sz w:val="24"/>
        </w:rPr>
        <w:tab/>
        <w:t>Değerler formülde yerine konulduğunda;</w:t>
      </w:r>
    </w:p>
    <w:p w:rsidR="009C496D" w:rsidRPr="009C496D" w:rsidRDefault="009C496D" w:rsidP="009C496D">
      <w:pPr>
        <w:spacing w:line="360" w:lineRule="auto"/>
        <w:rPr>
          <w:rFonts w:ascii="Book Antiqua" w:eastAsiaTheme="minorEastAsia" w:hAnsi="Book Antiqua"/>
          <w:sz w:val="24"/>
        </w:rPr>
      </w:pPr>
      <m:oMathPara>
        <m:oMath>
          <m:r>
            <m:rPr>
              <m:sty m:val="p"/>
            </m:rPr>
            <w:rPr>
              <w:rFonts w:ascii="Cambria Math" w:eastAsia="Calibri" w:hAnsi="Cambria Math" w:cs="Times New Roman"/>
              <w:sz w:val="24"/>
            </w:rPr>
            <m:t>2019 gös. hed. ulaşma oranı=</m:t>
          </m:r>
          <m:d>
            <m:dPr>
              <m:ctrlPr>
                <w:rPr>
                  <w:rFonts w:ascii="Cambria Math" w:eastAsia="Calibri" w:hAnsi="Cambria Math" w:cs="Times New Roman"/>
                  <w:sz w:val="24"/>
                </w:rPr>
              </m:ctrlPr>
            </m:dPr>
            <m:e>
              <m:f>
                <m:fPr>
                  <m:ctrlPr>
                    <w:rPr>
                      <w:rFonts w:ascii="Cambria Math" w:eastAsia="Calibri" w:hAnsi="Cambria Math" w:cs="Times New Roman"/>
                      <w:sz w:val="24"/>
                    </w:rPr>
                  </m:ctrlPr>
                </m:fPr>
                <m:num>
                  <m:r>
                    <m:rPr>
                      <m:sty m:val="p"/>
                    </m:rPr>
                    <w:rPr>
                      <w:rFonts w:ascii="Cambria Math" w:eastAsia="Calibri" w:hAnsi="Cambria Math" w:cs="Times New Roman"/>
                      <w:sz w:val="24"/>
                    </w:rPr>
                    <m:t>98,13-99,57</m:t>
                  </m:r>
                </m:num>
                <m:den>
                  <m:r>
                    <m:rPr>
                      <m:sty m:val="p"/>
                    </m:rPr>
                    <w:rPr>
                      <w:rFonts w:ascii="Cambria Math" w:eastAsia="Calibri" w:hAnsi="Cambria Math" w:cs="Times New Roman"/>
                      <w:sz w:val="24"/>
                    </w:rPr>
                    <m:t>100-99,57</m:t>
                  </m:r>
                </m:den>
              </m:f>
            </m:e>
          </m:d>
          <m:r>
            <m:rPr>
              <m:sty m:val="p"/>
            </m:rPr>
            <w:rPr>
              <w:rFonts w:ascii="Cambria Math" w:eastAsia="Calibri" w:hAnsi="Cambria Math" w:cs="Times New Roman"/>
              <w:sz w:val="24"/>
            </w:rPr>
            <m:t>×100</m:t>
          </m:r>
        </m:oMath>
      </m:oMathPara>
    </w:p>
    <w:p w:rsidR="009C496D" w:rsidRPr="009C496D" w:rsidRDefault="009C496D" w:rsidP="005F7A53">
      <w:pPr>
        <w:spacing w:line="360" w:lineRule="auto"/>
        <w:ind w:firstLine="708"/>
        <w:jc w:val="both"/>
        <w:rPr>
          <w:rFonts w:ascii="Book Antiqua" w:eastAsiaTheme="minorEastAsia" w:hAnsi="Book Antiqua"/>
          <w:sz w:val="24"/>
        </w:rPr>
      </w:pPr>
      <w:r w:rsidRPr="009C496D">
        <w:rPr>
          <w:rFonts w:ascii="Book Antiqua" w:eastAsiaTheme="minorEastAsia" w:hAnsi="Book Antiqua"/>
          <w:sz w:val="24"/>
        </w:rPr>
        <w:t xml:space="preserve">Öncelikle parantez içerisindeki işlem tamamlanmalıdır, hesaplamalar </w:t>
      </w:r>
      <w:proofErr w:type="spellStart"/>
      <w:r w:rsidRPr="009C496D">
        <w:rPr>
          <w:rFonts w:ascii="Book Antiqua" w:eastAsiaTheme="minorEastAsia" w:hAnsi="Book Antiqua"/>
          <w:sz w:val="24"/>
        </w:rPr>
        <w:t>excelde</w:t>
      </w:r>
      <w:proofErr w:type="spellEnd"/>
      <w:r w:rsidRPr="009C496D">
        <w:rPr>
          <w:rFonts w:ascii="Book Antiqua" w:eastAsiaTheme="minorEastAsia" w:hAnsi="Book Antiqua"/>
          <w:sz w:val="24"/>
        </w:rPr>
        <w:t xml:space="preserve"> formül oluşturularak yapıldığında da parantezler mutlaka eklenmelidir.</w:t>
      </w:r>
    </w:p>
    <w:p w:rsidR="009C496D" w:rsidRPr="009C496D" w:rsidRDefault="009C496D" w:rsidP="009C496D">
      <w:pPr>
        <w:spacing w:line="360" w:lineRule="auto"/>
        <w:rPr>
          <w:rFonts w:ascii="Book Antiqua" w:eastAsiaTheme="minorEastAsia" w:hAnsi="Book Antiqua"/>
          <w:sz w:val="24"/>
        </w:rPr>
      </w:pPr>
      <m:oMathPara>
        <m:oMath>
          <m:r>
            <m:rPr>
              <m:sty m:val="p"/>
            </m:rPr>
            <w:rPr>
              <w:rFonts w:ascii="Cambria Math" w:eastAsia="Calibri" w:hAnsi="Cambria Math" w:cs="Times New Roman"/>
              <w:sz w:val="24"/>
            </w:rPr>
            <m:t>2019 gös. hed. ulaşma oranı=</m:t>
          </m:r>
          <m:d>
            <m:dPr>
              <m:ctrlPr>
                <w:rPr>
                  <w:rFonts w:ascii="Cambria Math" w:eastAsia="Calibri" w:hAnsi="Cambria Math" w:cs="Times New Roman"/>
                  <w:sz w:val="24"/>
                </w:rPr>
              </m:ctrlPr>
            </m:dPr>
            <m:e>
              <m:f>
                <m:fPr>
                  <m:ctrlPr>
                    <w:rPr>
                      <w:rFonts w:ascii="Cambria Math" w:eastAsia="Calibri" w:hAnsi="Cambria Math" w:cs="Times New Roman"/>
                      <w:sz w:val="24"/>
                    </w:rPr>
                  </m:ctrlPr>
                </m:fPr>
                <m:num>
                  <m:r>
                    <w:rPr>
                      <w:rFonts w:ascii="Cambria Math" w:eastAsia="Calibri" w:hAnsi="Cambria Math" w:cs="Times New Roman"/>
                      <w:sz w:val="24"/>
                    </w:rPr>
                    <m:t>-1,44</m:t>
                  </m:r>
                </m:num>
                <m:den>
                  <m:r>
                    <m:rPr>
                      <m:sty m:val="p"/>
                    </m:rPr>
                    <w:rPr>
                      <w:rFonts w:ascii="Cambria Math" w:eastAsia="Calibri" w:hAnsi="Cambria Math" w:cs="Times New Roman"/>
                      <w:sz w:val="24"/>
                    </w:rPr>
                    <m:t>0,43</m:t>
                  </m:r>
                </m:den>
              </m:f>
            </m:e>
          </m:d>
          <m:r>
            <m:rPr>
              <m:sty m:val="p"/>
            </m:rPr>
            <w:rPr>
              <w:rFonts w:ascii="Cambria Math" w:eastAsia="Calibri" w:hAnsi="Cambria Math" w:cs="Times New Roman"/>
              <w:sz w:val="24"/>
            </w:rPr>
            <m:t>×100</m:t>
          </m:r>
        </m:oMath>
      </m:oMathPara>
    </w:p>
    <w:p w:rsidR="009C496D" w:rsidRPr="009C496D" w:rsidRDefault="009C496D" w:rsidP="009C496D">
      <w:pPr>
        <w:spacing w:line="360" w:lineRule="auto"/>
        <w:rPr>
          <w:rFonts w:ascii="Book Antiqua" w:eastAsiaTheme="minorEastAsia" w:hAnsi="Book Antiqua"/>
          <w:sz w:val="24"/>
        </w:rPr>
      </w:pPr>
      <m:oMathPara>
        <m:oMath>
          <m:r>
            <m:rPr>
              <m:sty m:val="p"/>
            </m:rPr>
            <w:rPr>
              <w:rFonts w:ascii="Cambria Math" w:eastAsia="Calibri" w:hAnsi="Cambria Math" w:cs="Times New Roman"/>
              <w:sz w:val="24"/>
            </w:rPr>
            <m:t>2019 gös. hed. ulaşma oranı=</m:t>
          </m:r>
          <m:d>
            <m:dPr>
              <m:ctrlPr>
                <w:rPr>
                  <w:rFonts w:ascii="Cambria Math" w:eastAsia="Calibri" w:hAnsi="Cambria Math" w:cs="Times New Roman"/>
                  <w:sz w:val="24"/>
                </w:rPr>
              </m:ctrlPr>
            </m:dPr>
            <m:e>
              <m:r>
                <m:rPr>
                  <m:sty m:val="p"/>
                </m:rPr>
                <w:rPr>
                  <w:rFonts w:ascii="Cambria Math" w:eastAsia="Calibri" w:hAnsi="Cambria Math" w:cs="Times New Roman"/>
                  <w:sz w:val="24"/>
                </w:rPr>
                <m:t>-3,3488</m:t>
              </m:r>
            </m:e>
          </m:d>
          <m:r>
            <m:rPr>
              <m:sty m:val="p"/>
            </m:rPr>
            <w:rPr>
              <w:rFonts w:ascii="Cambria Math" w:eastAsia="Calibri" w:hAnsi="Cambria Math" w:cs="Times New Roman"/>
              <w:sz w:val="24"/>
            </w:rPr>
            <m:t>×100</m:t>
          </m:r>
        </m:oMath>
      </m:oMathPara>
    </w:p>
    <w:p w:rsidR="009C496D" w:rsidRPr="009C496D" w:rsidRDefault="009C496D" w:rsidP="005F7A53">
      <w:pPr>
        <w:spacing w:line="360" w:lineRule="auto"/>
        <w:ind w:firstLine="708"/>
        <w:rPr>
          <w:rFonts w:ascii="Book Antiqua" w:eastAsiaTheme="minorEastAsia" w:hAnsi="Book Antiqua"/>
          <w:sz w:val="24"/>
        </w:rPr>
      </w:pPr>
      <w:r w:rsidRPr="009C496D">
        <w:rPr>
          <w:rFonts w:ascii="Book Antiqua" w:eastAsiaTheme="minorEastAsia" w:hAnsi="Book Antiqua"/>
          <w:sz w:val="24"/>
        </w:rPr>
        <w:t>Çıkan sonuçlar virgülden sonra iki basamak olacak şekilde yuvarlanmalıdır.</w:t>
      </w:r>
    </w:p>
    <w:p w:rsidR="009C496D" w:rsidRPr="009C496D" w:rsidRDefault="009C496D" w:rsidP="009C496D">
      <w:pPr>
        <w:spacing w:line="360" w:lineRule="auto"/>
        <w:rPr>
          <w:rFonts w:ascii="Book Antiqua" w:eastAsiaTheme="minorEastAsia" w:hAnsi="Book Antiqua"/>
          <w:sz w:val="24"/>
        </w:rPr>
      </w:pPr>
      <m:oMathPara>
        <m:oMath>
          <m:r>
            <m:rPr>
              <m:sty m:val="p"/>
            </m:rPr>
            <w:rPr>
              <w:rFonts w:ascii="Cambria Math" w:eastAsia="Calibri" w:hAnsi="Cambria Math" w:cs="Times New Roman"/>
              <w:sz w:val="24"/>
            </w:rPr>
            <m:t>2019 gös. hed. ulaşma oranı=-334,88</m:t>
          </m:r>
        </m:oMath>
      </m:oMathPara>
    </w:p>
    <w:p w:rsidR="009C496D" w:rsidRPr="009C496D" w:rsidRDefault="009C496D" w:rsidP="005F7A53">
      <w:pPr>
        <w:spacing w:line="360" w:lineRule="auto"/>
        <w:ind w:firstLine="708"/>
        <w:jc w:val="both"/>
        <w:rPr>
          <w:rFonts w:ascii="Book Antiqua" w:eastAsiaTheme="minorEastAsia" w:hAnsi="Book Antiqua"/>
          <w:sz w:val="24"/>
        </w:rPr>
      </w:pPr>
      <w:r w:rsidRPr="009C496D">
        <w:rPr>
          <w:rFonts w:ascii="Book Antiqua" w:eastAsiaTheme="minorEastAsia" w:hAnsi="Book Antiqua"/>
          <w:sz w:val="24"/>
        </w:rPr>
        <w:t>Buna göre A göstergesinde 2018 yılı gerçekleşme oranı %-334,88’dir. Gerçekleşme değerinin negatif olması göstergenin başlangıç durumunun gerisinde olduğunu ifade etmektedir. Başka bir ifade ile 2014 yılına yani plan öncesi döneme göre A göstergesinde gerileme söz konusudur. Gerçekleşme değerinin pozitif olması başlangıç durumuna göre ilerleme olduğunu, gerçekleşme değerinin 100 olması gösterge hedefine tam olarak ulaşıldığını ifade etmektedir. Gerçekleşme değerinin 100’den büyük olması ise hedefin aşıldığı anlamına gelmektedir.</w:t>
      </w:r>
    </w:p>
    <w:p w:rsidR="009C496D" w:rsidRPr="009C496D" w:rsidRDefault="009C496D" w:rsidP="005F7A53">
      <w:pPr>
        <w:spacing w:line="360" w:lineRule="auto"/>
        <w:ind w:firstLine="708"/>
        <w:jc w:val="both"/>
        <w:rPr>
          <w:rFonts w:ascii="Book Antiqua" w:eastAsiaTheme="minorEastAsia" w:hAnsi="Book Antiqua"/>
          <w:sz w:val="24"/>
        </w:rPr>
      </w:pPr>
      <w:r w:rsidRPr="009C496D">
        <w:rPr>
          <w:rFonts w:ascii="Book Antiqua" w:eastAsiaTheme="minorEastAsia" w:hAnsi="Book Antiqua"/>
          <w:sz w:val="24"/>
        </w:rPr>
        <w:t>Farklı gerçekleşme durumlarına ilişkin örnek olması bakımından B ve C göstergelerinin gerçekleşme durumları hesaplanmıştır:</w:t>
      </w:r>
    </w:p>
    <w:p w:rsidR="009C496D" w:rsidRPr="009C496D" w:rsidRDefault="009C496D" w:rsidP="009C496D">
      <w:pPr>
        <w:spacing w:line="360" w:lineRule="auto"/>
        <w:jc w:val="both"/>
        <w:rPr>
          <w:rFonts w:ascii="Book Antiqua" w:eastAsiaTheme="minorEastAsia" w:hAnsi="Book Antiqua"/>
          <w:sz w:val="24"/>
        </w:rPr>
      </w:pPr>
      <w:r w:rsidRPr="009C496D">
        <w:rPr>
          <w:rFonts w:ascii="Book Antiqua" w:eastAsiaTheme="minorEastAsia" w:hAnsi="Book Antiqua"/>
          <w:sz w:val="24"/>
        </w:rPr>
        <w:t>B oranı göstergesi için hesaplama aşağıdaki adımları takip edecektir:</w:t>
      </w:r>
    </w:p>
    <w:p w:rsidR="009C496D" w:rsidRPr="009C496D" w:rsidRDefault="009C496D" w:rsidP="009C496D">
      <w:pPr>
        <w:spacing w:line="360" w:lineRule="auto"/>
        <w:jc w:val="both"/>
        <w:rPr>
          <w:rFonts w:ascii="Book Antiqua" w:eastAsiaTheme="minorEastAsia" w:hAnsi="Book Antiqua"/>
          <w:sz w:val="24"/>
        </w:rPr>
      </w:pPr>
      <m:oMathPara>
        <m:oMath>
          <m:r>
            <w:rPr>
              <w:rFonts w:ascii="Cambria Math" w:eastAsiaTheme="minorEastAsia" w:hAnsi="Cambria Math"/>
              <w:sz w:val="24"/>
            </w:rPr>
            <w:lastRenderedPageBreak/>
            <m:t>2</m:t>
          </m:r>
          <m:r>
            <m:rPr>
              <m:sty m:val="p"/>
            </m:rPr>
            <w:rPr>
              <w:rFonts w:ascii="Cambria Math" w:eastAsiaTheme="minorEastAsia" w:hAnsi="Cambria Math"/>
              <w:sz w:val="24"/>
            </w:rPr>
            <m:t>019 gös. hed. ulaşma oranı=(</m:t>
          </m:r>
          <m:f>
            <m:fPr>
              <m:ctrlPr>
                <w:rPr>
                  <w:rFonts w:ascii="Cambria Math" w:eastAsiaTheme="minorEastAsia" w:hAnsi="Cambria Math"/>
                  <w:sz w:val="24"/>
                </w:rPr>
              </m:ctrlPr>
            </m:fPr>
            <m:num>
              <m:r>
                <m:rPr>
                  <m:sty m:val="p"/>
                </m:rPr>
                <w:rPr>
                  <w:rFonts w:ascii="Cambria Math" w:eastAsiaTheme="minorEastAsia" w:hAnsi="Cambria Math"/>
                  <w:sz w:val="24"/>
                </w:rPr>
                <m:t>2018 gerç. dur.-2014 gerç. dur.</m:t>
              </m:r>
            </m:num>
            <m:den>
              <m:r>
                <m:rPr>
                  <m:sty m:val="p"/>
                </m:rPr>
                <w:rPr>
                  <w:rFonts w:ascii="Cambria Math" w:eastAsiaTheme="minorEastAsia" w:hAnsi="Cambria Math"/>
                  <w:sz w:val="24"/>
                </w:rPr>
                <m:t>2019 gös. hed.-2014 gerç. dur.</m:t>
              </m:r>
            </m:den>
          </m:f>
          <m:r>
            <m:rPr>
              <m:sty m:val="p"/>
            </m:rPr>
            <w:rPr>
              <w:rFonts w:ascii="Cambria Math" w:eastAsiaTheme="minorEastAsia" w:hAnsi="Cambria Math"/>
              <w:sz w:val="24"/>
            </w:rPr>
            <m:t>)×100</m:t>
          </m:r>
        </m:oMath>
      </m:oMathPara>
    </w:p>
    <w:p w:rsidR="009C496D" w:rsidRPr="009C496D" w:rsidRDefault="009C496D" w:rsidP="009C496D">
      <w:pPr>
        <w:spacing w:line="360" w:lineRule="auto"/>
        <w:jc w:val="both"/>
        <w:rPr>
          <w:rFonts w:ascii="Book Antiqua" w:eastAsiaTheme="minorEastAsia" w:hAnsi="Book Antiqua"/>
          <w:sz w:val="24"/>
        </w:rPr>
      </w:pPr>
      <w:r w:rsidRPr="009C496D">
        <w:rPr>
          <w:rFonts w:ascii="Book Antiqua" w:eastAsiaTheme="minorEastAsia" w:hAnsi="Book Antiqua"/>
          <w:sz w:val="24"/>
        </w:rPr>
        <w:t>2018 gerçekleşme durumu= 99,23</w:t>
      </w:r>
    </w:p>
    <w:p w:rsidR="009C496D" w:rsidRPr="009C496D" w:rsidRDefault="009C496D" w:rsidP="009C496D">
      <w:pPr>
        <w:spacing w:line="360" w:lineRule="auto"/>
        <w:jc w:val="both"/>
        <w:rPr>
          <w:rFonts w:ascii="Book Antiqua" w:eastAsiaTheme="minorEastAsia" w:hAnsi="Book Antiqua"/>
          <w:sz w:val="24"/>
        </w:rPr>
      </w:pPr>
      <w:r w:rsidRPr="009C496D">
        <w:rPr>
          <w:rFonts w:ascii="Book Antiqua" w:eastAsiaTheme="minorEastAsia" w:hAnsi="Book Antiqua"/>
          <w:sz w:val="24"/>
        </w:rPr>
        <w:t>2014 gerçekleşme durumu= 94,52</w:t>
      </w:r>
    </w:p>
    <w:p w:rsidR="009C496D" w:rsidRPr="009C496D" w:rsidRDefault="009C496D" w:rsidP="009C496D">
      <w:pPr>
        <w:spacing w:line="360" w:lineRule="auto"/>
        <w:jc w:val="both"/>
        <w:rPr>
          <w:rFonts w:ascii="Book Antiqua" w:eastAsiaTheme="minorEastAsia" w:hAnsi="Book Antiqua"/>
          <w:sz w:val="24"/>
        </w:rPr>
      </w:pPr>
      <w:r w:rsidRPr="009C496D">
        <w:rPr>
          <w:rFonts w:ascii="Book Antiqua" w:eastAsiaTheme="minorEastAsia" w:hAnsi="Book Antiqua"/>
          <w:sz w:val="24"/>
        </w:rPr>
        <w:t>2019 gösterge hedefi= 100</w:t>
      </w:r>
    </w:p>
    <w:p w:rsidR="009C496D" w:rsidRPr="009C496D" w:rsidRDefault="009C496D" w:rsidP="009C496D">
      <w:pPr>
        <w:spacing w:line="360" w:lineRule="auto"/>
        <w:jc w:val="both"/>
        <w:rPr>
          <w:rFonts w:ascii="Book Antiqua" w:eastAsiaTheme="minorEastAsia" w:hAnsi="Book Antiqua"/>
          <w:sz w:val="24"/>
        </w:rPr>
      </w:pPr>
      <w:r w:rsidRPr="009C496D">
        <w:rPr>
          <w:rFonts w:ascii="Book Antiqua" w:eastAsiaTheme="minorEastAsia" w:hAnsi="Book Antiqua"/>
          <w:sz w:val="24"/>
        </w:rPr>
        <w:tab/>
        <w:t>Değerler formülde yerine konulduğunda;</w:t>
      </w:r>
    </w:p>
    <w:p w:rsidR="009C496D" w:rsidRPr="009C496D" w:rsidRDefault="009C496D" w:rsidP="009C496D">
      <w:pPr>
        <w:spacing w:line="360" w:lineRule="auto"/>
        <w:jc w:val="both"/>
        <w:rPr>
          <w:rFonts w:ascii="Book Antiqua" w:eastAsiaTheme="minorEastAsia" w:hAnsi="Book Antiqua"/>
          <w:sz w:val="24"/>
        </w:rPr>
      </w:pPr>
      <m:oMathPara>
        <m:oMath>
          <m:r>
            <m:rPr>
              <m:sty m:val="p"/>
            </m:rPr>
            <w:rPr>
              <w:rFonts w:ascii="Cambria Math" w:eastAsiaTheme="minorEastAsia" w:hAnsi="Cambria Math"/>
              <w:sz w:val="24"/>
            </w:rPr>
            <m:t>2019 gös. hed. ulaşma oranı=</m:t>
          </m:r>
          <m:d>
            <m:dPr>
              <m:ctrlPr>
                <w:rPr>
                  <w:rFonts w:ascii="Cambria Math" w:eastAsiaTheme="minorEastAsia" w:hAnsi="Cambria Math"/>
                  <w:sz w:val="24"/>
                </w:rPr>
              </m:ctrlPr>
            </m:dPr>
            <m:e>
              <m:f>
                <m:fPr>
                  <m:ctrlPr>
                    <w:rPr>
                      <w:rFonts w:ascii="Cambria Math" w:eastAsiaTheme="minorEastAsia" w:hAnsi="Cambria Math"/>
                      <w:sz w:val="24"/>
                    </w:rPr>
                  </m:ctrlPr>
                </m:fPr>
                <m:num>
                  <m:r>
                    <m:rPr>
                      <m:sty m:val="p"/>
                    </m:rPr>
                    <w:rPr>
                      <w:rFonts w:ascii="Cambria Math" w:eastAsiaTheme="minorEastAsia" w:hAnsi="Cambria Math"/>
                      <w:sz w:val="24"/>
                    </w:rPr>
                    <m:t xml:space="preserve"> 99,23-94,52</m:t>
                  </m:r>
                </m:num>
                <m:den>
                  <m:r>
                    <m:rPr>
                      <m:sty m:val="p"/>
                    </m:rPr>
                    <w:rPr>
                      <w:rFonts w:ascii="Cambria Math" w:eastAsiaTheme="minorEastAsia" w:hAnsi="Cambria Math"/>
                      <w:sz w:val="24"/>
                    </w:rPr>
                    <m:t>100-94,52</m:t>
                  </m:r>
                </m:den>
              </m:f>
            </m:e>
          </m:d>
          <m:r>
            <m:rPr>
              <m:sty m:val="p"/>
            </m:rPr>
            <w:rPr>
              <w:rFonts w:ascii="Cambria Math" w:eastAsiaTheme="minorEastAsia" w:hAnsi="Cambria Math"/>
              <w:sz w:val="24"/>
            </w:rPr>
            <m:t>×100</m:t>
          </m:r>
        </m:oMath>
      </m:oMathPara>
    </w:p>
    <w:p w:rsidR="009C496D" w:rsidRPr="009C496D" w:rsidRDefault="009C496D" w:rsidP="009C496D">
      <w:pPr>
        <w:spacing w:line="360" w:lineRule="auto"/>
        <w:jc w:val="both"/>
        <w:rPr>
          <w:rFonts w:ascii="Book Antiqua" w:eastAsiaTheme="minorEastAsia" w:hAnsi="Book Antiqua"/>
          <w:sz w:val="24"/>
        </w:rPr>
      </w:pPr>
      <m:oMathPara>
        <m:oMath>
          <m:r>
            <m:rPr>
              <m:sty m:val="p"/>
            </m:rPr>
            <w:rPr>
              <w:rFonts w:ascii="Cambria Math" w:eastAsiaTheme="minorEastAsia" w:hAnsi="Cambria Math"/>
              <w:sz w:val="24"/>
            </w:rPr>
            <m:t>2019 gös. hed. ulaşma oranı=</m:t>
          </m:r>
          <m:r>
            <w:rPr>
              <w:rFonts w:ascii="Cambria Math" w:eastAsiaTheme="minorEastAsia" w:hAnsi="Cambria Math"/>
              <w:sz w:val="24"/>
            </w:rPr>
            <m:t>85,95</m:t>
          </m:r>
        </m:oMath>
      </m:oMathPara>
    </w:p>
    <w:p w:rsidR="009C496D" w:rsidRPr="009C496D" w:rsidRDefault="009C496D" w:rsidP="005F7A53">
      <w:pPr>
        <w:spacing w:line="360" w:lineRule="auto"/>
        <w:ind w:firstLine="708"/>
        <w:jc w:val="both"/>
        <w:rPr>
          <w:rFonts w:ascii="Book Antiqua" w:eastAsiaTheme="minorEastAsia" w:hAnsi="Book Antiqua"/>
          <w:sz w:val="24"/>
        </w:rPr>
      </w:pPr>
      <w:r w:rsidRPr="009C496D">
        <w:rPr>
          <w:rFonts w:ascii="Book Antiqua" w:eastAsiaTheme="minorEastAsia" w:hAnsi="Book Antiqua"/>
          <w:sz w:val="24"/>
        </w:rPr>
        <w:t>Buna göre C göstergesinde %85,95 oranında bir gerçekleşme söz konusudur. Bu oran göstergede başlangıç durumuna göre önemli bir ilerleme olduğunu ifade etmektedir.</w:t>
      </w:r>
      <w:r w:rsidR="005F7A53">
        <w:rPr>
          <w:rFonts w:ascii="Book Antiqua" w:eastAsiaTheme="minorEastAsia" w:hAnsi="Book Antiqua"/>
          <w:sz w:val="24"/>
        </w:rPr>
        <w:t xml:space="preserve"> </w:t>
      </w:r>
      <w:r w:rsidRPr="009C496D">
        <w:rPr>
          <w:rFonts w:ascii="Book Antiqua" w:eastAsiaTheme="minorEastAsia" w:hAnsi="Book Antiqua"/>
          <w:sz w:val="24"/>
        </w:rPr>
        <w:t>C oranı göstergesi için hesaplama aşağıdaki adımları takip edecektir:</w:t>
      </w:r>
    </w:p>
    <w:p w:rsidR="009C496D" w:rsidRPr="009C496D" w:rsidRDefault="009C496D" w:rsidP="009C496D">
      <w:pPr>
        <w:spacing w:line="360" w:lineRule="auto"/>
        <w:rPr>
          <w:rFonts w:ascii="Book Antiqua" w:eastAsiaTheme="minorEastAsia" w:hAnsi="Book Antiqua"/>
          <w:sz w:val="24"/>
        </w:rPr>
      </w:pPr>
      <m:oMathPara>
        <m:oMath>
          <m:r>
            <w:rPr>
              <w:rFonts w:ascii="Cambria Math" w:eastAsiaTheme="minorEastAsia" w:hAnsi="Cambria Math"/>
              <w:sz w:val="24"/>
            </w:rPr>
            <m:t>2</m:t>
          </m:r>
          <m:r>
            <m:rPr>
              <m:sty m:val="p"/>
            </m:rPr>
            <w:rPr>
              <w:rFonts w:ascii="Cambria Math" w:eastAsiaTheme="minorEastAsia" w:hAnsi="Cambria Math"/>
              <w:sz w:val="24"/>
            </w:rPr>
            <m:t>019 gös. hed. ulaşma oranı=(</m:t>
          </m:r>
          <m:f>
            <m:fPr>
              <m:ctrlPr>
                <w:rPr>
                  <w:rFonts w:ascii="Cambria Math" w:eastAsiaTheme="minorEastAsia" w:hAnsi="Cambria Math"/>
                  <w:sz w:val="24"/>
                </w:rPr>
              </m:ctrlPr>
            </m:fPr>
            <m:num>
              <m:r>
                <m:rPr>
                  <m:sty m:val="p"/>
                </m:rPr>
                <w:rPr>
                  <w:rFonts w:ascii="Cambria Math" w:eastAsiaTheme="minorEastAsia" w:hAnsi="Cambria Math"/>
                  <w:sz w:val="24"/>
                </w:rPr>
                <m:t>2018 gerç. dur.-2014 gerç. dur.</m:t>
              </m:r>
            </m:num>
            <m:den>
              <m:r>
                <m:rPr>
                  <m:sty m:val="p"/>
                </m:rPr>
                <w:rPr>
                  <w:rFonts w:ascii="Cambria Math" w:eastAsiaTheme="minorEastAsia" w:hAnsi="Cambria Math"/>
                  <w:sz w:val="24"/>
                </w:rPr>
                <m:t>2019 gös. hed.-2014 gerç. dur.</m:t>
              </m:r>
            </m:den>
          </m:f>
          <m:r>
            <m:rPr>
              <m:sty m:val="p"/>
            </m:rPr>
            <w:rPr>
              <w:rFonts w:ascii="Cambria Math" w:eastAsiaTheme="minorEastAsia" w:hAnsi="Cambria Math"/>
              <w:sz w:val="24"/>
            </w:rPr>
            <m:t>)×100</m:t>
          </m:r>
        </m:oMath>
      </m:oMathPara>
    </w:p>
    <w:p w:rsidR="009C496D" w:rsidRPr="009C496D" w:rsidRDefault="009C496D" w:rsidP="009C496D">
      <w:pPr>
        <w:spacing w:line="360" w:lineRule="auto"/>
        <w:rPr>
          <w:rFonts w:ascii="Book Antiqua" w:eastAsiaTheme="minorEastAsia" w:hAnsi="Book Antiqua"/>
          <w:sz w:val="24"/>
        </w:rPr>
      </w:pPr>
      <w:r w:rsidRPr="009C496D">
        <w:rPr>
          <w:rFonts w:ascii="Book Antiqua" w:eastAsiaTheme="minorEastAsia" w:hAnsi="Book Antiqua"/>
          <w:sz w:val="24"/>
        </w:rPr>
        <w:t xml:space="preserve">2018 gerçekleşme durumu= 14,80 </w:t>
      </w:r>
    </w:p>
    <w:p w:rsidR="009C496D" w:rsidRPr="009C496D" w:rsidRDefault="009C496D" w:rsidP="009C496D">
      <w:pPr>
        <w:spacing w:line="360" w:lineRule="auto"/>
        <w:rPr>
          <w:rFonts w:ascii="Book Antiqua" w:eastAsiaTheme="minorEastAsia" w:hAnsi="Book Antiqua"/>
          <w:sz w:val="24"/>
        </w:rPr>
      </w:pPr>
      <w:r w:rsidRPr="009C496D">
        <w:rPr>
          <w:rFonts w:ascii="Book Antiqua" w:eastAsiaTheme="minorEastAsia" w:hAnsi="Book Antiqua"/>
          <w:sz w:val="24"/>
        </w:rPr>
        <w:t>2014 gerçekleşme durumu=4,78</w:t>
      </w:r>
    </w:p>
    <w:p w:rsidR="009C496D" w:rsidRPr="009C496D" w:rsidRDefault="009C496D" w:rsidP="009C496D">
      <w:pPr>
        <w:spacing w:line="360" w:lineRule="auto"/>
        <w:rPr>
          <w:rFonts w:ascii="Book Antiqua" w:eastAsiaTheme="minorEastAsia" w:hAnsi="Book Antiqua"/>
          <w:sz w:val="24"/>
        </w:rPr>
      </w:pPr>
      <w:r w:rsidRPr="009C496D">
        <w:rPr>
          <w:rFonts w:ascii="Book Antiqua" w:eastAsiaTheme="minorEastAsia" w:hAnsi="Book Antiqua"/>
          <w:sz w:val="24"/>
        </w:rPr>
        <w:t>2019 gösterge hedefi= 12</w:t>
      </w:r>
    </w:p>
    <w:p w:rsidR="009C496D" w:rsidRPr="009C496D" w:rsidRDefault="009C496D" w:rsidP="009C496D">
      <w:pPr>
        <w:spacing w:line="360" w:lineRule="auto"/>
        <w:rPr>
          <w:rFonts w:ascii="Book Antiqua" w:eastAsiaTheme="minorEastAsia" w:hAnsi="Book Antiqua"/>
          <w:sz w:val="24"/>
        </w:rPr>
      </w:pPr>
      <w:r w:rsidRPr="009C496D">
        <w:rPr>
          <w:rFonts w:ascii="Book Antiqua" w:eastAsiaTheme="minorEastAsia" w:hAnsi="Book Antiqua"/>
          <w:sz w:val="24"/>
        </w:rPr>
        <w:tab/>
        <w:t>Değerler formülde yerine konulduğunda;</w:t>
      </w:r>
    </w:p>
    <w:p w:rsidR="009C496D" w:rsidRPr="009C496D" w:rsidRDefault="009C496D" w:rsidP="009C496D">
      <w:pPr>
        <w:spacing w:line="360" w:lineRule="auto"/>
        <w:rPr>
          <w:rFonts w:ascii="Book Antiqua" w:eastAsiaTheme="minorEastAsia" w:hAnsi="Book Antiqua"/>
          <w:sz w:val="24"/>
        </w:rPr>
      </w:pPr>
      <m:oMathPara>
        <m:oMath>
          <m:r>
            <m:rPr>
              <m:sty m:val="p"/>
            </m:rPr>
            <w:rPr>
              <w:rFonts w:ascii="Cambria Math" w:eastAsiaTheme="minorEastAsia" w:hAnsi="Cambria Math"/>
              <w:sz w:val="24"/>
            </w:rPr>
            <m:t>2019 gös. hed. ulaşma oranı=</m:t>
          </m:r>
          <m:d>
            <m:dPr>
              <m:ctrlPr>
                <w:rPr>
                  <w:rFonts w:ascii="Cambria Math" w:eastAsiaTheme="minorEastAsia" w:hAnsi="Cambria Math"/>
                  <w:sz w:val="24"/>
                </w:rPr>
              </m:ctrlPr>
            </m:dPr>
            <m:e>
              <m:f>
                <m:fPr>
                  <m:ctrlPr>
                    <w:rPr>
                      <w:rFonts w:ascii="Cambria Math" w:eastAsiaTheme="minorEastAsia" w:hAnsi="Cambria Math"/>
                      <w:sz w:val="24"/>
                    </w:rPr>
                  </m:ctrlPr>
                </m:fPr>
                <m:num>
                  <m:r>
                    <m:rPr>
                      <m:sty m:val="p"/>
                    </m:rPr>
                    <w:rPr>
                      <w:rFonts w:ascii="Cambria Math" w:eastAsiaTheme="minorEastAsia" w:hAnsi="Cambria Math"/>
                      <w:sz w:val="24"/>
                    </w:rPr>
                    <m:t xml:space="preserve"> 14,80 -4,78</m:t>
                  </m:r>
                </m:num>
                <m:den>
                  <m:r>
                    <m:rPr>
                      <m:sty m:val="p"/>
                    </m:rPr>
                    <w:rPr>
                      <w:rFonts w:ascii="Cambria Math" w:eastAsiaTheme="minorEastAsia" w:hAnsi="Cambria Math"/>
                      <w:sz w:val="24"/>
                    </w:rPr>
                    <m:t>12-4,78</m:t>
                  </m:r>
                </m:den>
              </m:f>
            </m:e>
          </m:d>
          <m:r>
            <m:rPr>
              <m:sty m:val="p"/>
            </m:rPr>
            <w:rPr>
              <w:rFonts w:ascii="Cambria Math" w:eastAsiaTheme="minorEastAsia" w:hAnsi="Cambria Math"/>
              <w:sz w:val="24"/>
            </w:rPr>
            <m:t>×100</m:t>
          </m:r>
        </m:oMath>
      </m:oMathPara>
    </w:p>
    <w:p w:rsidR="009C496D" w:rsidRPr="009C496D" w:rsidRDefault="009C496D" w:rsidP="009C496D">
      <w:pPr>
        <w:spacing w:line="360" w:lineRule="auto"/>
        <w:jc w:val="both"/>
        <w:rPr>
          <w:rFonts w:ascii="Book Antiqua" w:eastAsiaTheme="minorEastAsia" w:hAnsi="Book Antiqua"/>
          <w:sz w:val="24"/>
        </w:rPr>
      </w:pPr>
      <m:oMathPara>
        <m:oMath>
          <m:r>
            <m:rPr>
              <m:sty m:val="p"/>
            </m:rPr>
            <w:rPr>
              <w:rFonts w:ascii="Cambria Math" w:eastAsiaTheme="minorEastAsia" w:hAnsi="Cambria Math"/>
              <w:sz w:val="24"/>
            </w:rPr>
            <m:t>2019 gös. hed. ulaşma oranı=</m:t>
          </m:r>
          <m:r>
            <w:rPr>
              <w:rFonts w:ascii="Cambria Math" w:eastAsiaTheme="minorEastAsia" w:hAnsi="Cambria Math"/>
              <w:sz w:val="24"/>
            </w:rPr>
            <m:t>138,78</m:t>
          </m:r>
        </m:oMath>
      </m:oMathPara>
    </w:p>
    <w:p w:rsidR="009C496D" w:rsidRPr="009C496D" w:rsidRDefault="009C496D" w:rsidP="005F7A53">
      <w:pPr>
        <w:spacing w:line="360" w:lineRule="auto"/>
        <w:ind w:firstLine="708"/>
        <w:jc w:val="both"/>
        <w:rPr>
          <w:rFonts w:ascii="Book Antiqua" w:eastAsiaTheme="minorEastAsia" w:hAnsi="Book Antiqua"/>
          <w:sz w:val="24"/>
        </w:rPr>
      </w:pPr>
      <w:r w:rsidRPr="009C496D">
        <w:rPr>
          <w:rFonts w:ascii="Book Antiqua" w:eastAsiaTheme="minorEastAsia" w:hAnsi="Book Antiqua"/>
          <w:sz w:val="24"/>
        </w:rPr>
        <w:t>Çıkan sonuç C göstergesinde %138,78 oranında gerçekleşme olduğunu, dolayısıyla öngörülen hedefin gerçekleştiğini ve aşıldığını anlatmaktadır.</w:t>
      </w:r>
      <w:r w:rsidR="005F7A53">
        <w:rPr>
          <w:rFonts w:ascii="Book Antiqua" w:eastAsiaTheme="minorEastAsia" w:hAnsi="Book Antiqua"/>
          <w:sz w:val="24"/>
        </w:rPr>
        <w:t xml:space="preserve"> </w:t>
      </w:r>
      <w:proofErr w:type="spellStart"/>
      <w:r w:rsidRPr="009C496D">
        <w:rPr>
          <w:rFonts w:ascii="Book Antiqua" w:eastAsiaTheme="minorEastAsia" w:hAnsi="Book Antiqua"/>
          <w:sz w:val="24"/>
        </w:rPr>
        <w:t>Excelde</w:t>
      </w:r>
      <w:proofErr w:type="spellEnd"/>
      <w:r w:rsidRPr="009C496D">
        <w:rPr>
          <w:rFonts w:ascii="Book Antiqua" w:eastAsiaTheme="minorEastAsia" w:hAnsi="Book Antiqua"/>
          <w:sz w:val="24"/>
        </w:rPr>
        <w:t xml:space="preserve"> formül yardımı ile hesaplama için aşağıdaki adımlar takip edilmelidir:</w:t>
      </w:r>
    </w:p>
    <w:p w:rsidR="009C496D" w:rsidRPr="009C496D" w:rsidRDefault="009C496D" w:rsidP="005F7A53">
      <w:pPr>
        <w:spacing w:before="240" w:after="0" w:line="360" w:lineRule="auto"/>
        <w:ind w:firstLine="708"/>
        <w:jc w:val="both"/>
        <w:rPr>
          <w:rFonts w:ascii="Book Antiqua" w:eastAsiaTheme="minorEastAsia" w:hAnsi="Book Antiqua"/>
          <w:sz w:val="24"/>
        </w:rPr>
      </w:pPr>
      <w:r w:rsidRPr="009C496D">
        <w:rPr>
          <w:rFonts w:ascii="Book Antiqua" w:hAnsi="Book Antiqua"/>
          <w:noProof/>
          <w:sz w:val="24"/>
          <w:lang w:eastAsia="tr-TR"/>
        </w:rPr>
        <w:lastRenderedPageBreak/>
        <w:drawing>
          <wp:anchor distT="0" distB="0" distL="114300" distR="114300" simplePos="0" relativeHeight="251665408" behindDoc="0" locked="0" layoutInCell="1" allowOverlap="1" wp14:anchorId="02866C53" wp14:editId="79F6659E">
            <wp:simplePos x="0" y="0"/>
            <wp:positionH relativeFrom="column">
              <wp:posOffset>-8255</wp:posOffset>
            </wp:positionH>
            <wp:positionV relativeFrom="paragraph">
              <wp:posOffset>116205</wp:posOffset>
            </wp:positionV>
            <wp:extent cx="5760720" cy="1645285"/>
            <wp:effectExtent l="19050" t="19050" r="11430" b="1206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16452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C496D">
        <w:rPr>
          <w:rFonts w:ascii="Book Antiqua" w:eastAsiaTheme="minorEastAsia" w:hAnsi="Book Antiqua"/>
          <w:sz w:val="24"/>
        </w:rPr>
        <w:t xml:space="preserve">Öncelikle gerekli veriler tabloya işlenerek </w:t>
      </w:r>
      <w:proofErr w:type="spellStart"/>
      <w:r w:rsidRPr="009C496D">
        <w:rPr>
          <w:rFonts w:ascii="Book Antiqua" w:eastAsiaTheme="minorEastAsia" w:hAnsi="Book Antiqua"/>
          <w:sz w:val="24"/>
        </w:rPr>
        <w:t>excel</w:t>
      </w:r>
      <w:proofErr w:type="spellEnd"/>
      <w:r w:rsidRPr="009C496D">
        <w:rPr>
          <w:rFonts w:ascii="Book Antiqua" w:eastAsiaTheme="minorEastAsia" w:hAnsi="Book Antiqua"/>
          <w:sz w:val="24"/>
        </w:rPr>
        <w:t xml:space="preserve"> ortamına aktarılmalıdır. Aşağıdaki resimde görüldüğü gibi gerçekleşme oranı sütunundaki en üst hücreye verilen formül parantezlere dikkat edilerek girilmelidir.</w:t>
      </w:r>
      <w:r w:rsidRPr="009C496D">
        <w:rPr>
          <w:rFonts w:ascii="Book Antiqua" w:hAnsi="Book Antiqua"/>
          <w:sz w:val="24"/>
        </w:rPr>
        <w:t xml:space="preserve"> </w:t>
      </w:r>
      <w:r w:rsidRPr="009C496D">
        <w:rPr>
          <w:rFonts w:ascii="Book Antiqua" w:eastAsiaTheme="minorEastAsia" w:hAnsi="Book Antiqua"/>
          <w:sz w:val="24"/>
        </w:rPr>
        <w:t xml:space="preserve">Ardından </w:t>
      </w:r>
      <w:proofErr w:type="spellStart"/>
      <w:r w:rsidRPr="009C496D">
        <w:rPr>
          <w:rFonts w:ascii="Book Antiqua" w:eastAsiaTheme="minorEastAsia" w:hAnsi="Book Antiqua"/>
          <w:sz w:val="24"/>
        </w:rPr>
        <w:t>enter</w:t>
      </w:r>
      <w:proofErr w:type="spellEnd"/>
      <w:r w:rsidRPr="009C496D">
        <w:rPr>
          <w:rFonts w:ascii="Book Antiqua" w:eastAsiaTheme="minorEastAsia" w:hAnsi="Book Antiqua"/>
          <w:sz w:val="24"/>
        </w:rPr>
        <w:t xml:space="preserve"> tuşuna basıldığında gerekli hesaplama yapılmış olacaktır. </w:t>
      </w:r>
    </w:p>
    <w:p w:rsidR="009C496D" w:rsidRPr="009C496D" w:rsidRDefault="009C496D" w:rsidP="005F7A53">
      <w:pPr>
        <w:spacing w:before="240" w:after="0" w:line="360" w:lineRule="auto"/>
        <w:ind w:firstLine="708"/>
        <w:jc w:val="both"/>
        <w:rPr>
          <w:rFonts w:ascii="Book Antiqua" w:hAnsi="Book Antiqua"/>
          <w:sz w:val="24"/>
        </w:rPr>
      </w:pPr>
      <w:r w:rsidRPr="009C496D">
        <w:rPr>
          <w:rFonts w:ascii="Book Antiqua" w:hAnsi="Book Antiqua"/>
          <w:noProof/>
          <w:sz w:val="24"/>
          <w:lang w:eastAsia="tr-TR"/>
        </w:rPr>
        <w:drawing>
          <wp:anchor distT="0" distB="0" distL="114300" distR="114300" simplePos="0" relativeHeight="251664384" behindDoc="0" locked="0" layoutInCell="1" allowOverlap="1" wp14:anchorId="4BADB86B" wp14:editId="6288CCD7">
            <wp:simplePos x="0" y="0"/>
            <wp:positionH relativeFrom="column">
              <wp:posOffset>3293110</wp:posOffset>
            </wp:positionH>
            <wp:positionV relativeFrom="paragraph">
              <wp:posOffset>1389380</wp:posOffset>
            </wp:positionV>
            <wp:extent cx="2508250" cy="2368550"/>
            <wp:effectExtent l="19050" t="19050" r="25400" b="1270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508250" cy="23685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C496D">
        <w:rPr>
          <w:rFonts w:ascii="Book Antiqua" w:hAnsi="Book Antiqua"/>
          <w:sz w:val="24"/>
        </w:rPr>
        <w:t>Bir hücre için hesaplama yapıldıktan sonra hesaplama yapılmış hücrenin sağ alt köşesine gelinerek + sembolü ortaya çıktıktan sonra basılı tutulup tablonun sonuna kadar sürüklendiğinde tablonun tamamı için hesaplama yapılmış olacaktır. Tabloda eksik veri olması durumunda formül hata verece</w:t>
      </w:r>
      <w:r>
        <w:rPr>
          <w:rFonts w:ascii="Book Antiqua" w:hAnsi="Book Antiqua"/>
          <w:sz w:val="24"/>
        </w:rPr>
        <w:t>ğinden</w:t>
      </w:r>
      <w:r w:rsidRPr="009C496D">
        <w:rPr>
          <w:rFonts w:ascii="Book Antiqua" w:hAnsi="Book Antiqua"/>
          <w:sz w:val="24"/>
        </w:rPr>
        <w:t xml:space="preserve"> veriler eksiksiz olmalıdır.</w:t>
      </w:r>
    </w:p>
    <w:p w:rsidR="009C496D" w:rsidRPr="009C496D" w:rsidRDefault="009C496D" w:rsidP="005F7A53">
      <w:pPr>
        <w:spacing w:line="360" w:lineRule="auto"/>
        <w:ind w:firstLine="708"/>
        <w:jc w:val="both"/>
        <w:rPr>
          <w:rFonts w:ascii="Book Antiqua" w:hAnsi="Book Antiqua"/>
          <w:sz w:val="24"/>
        </w:rPr>
      </w:pPr>
      <w:r w:rsidRPr="009C496D">
        <w:rPr>
          <w:rFonts w:ascii="Book Antiqua" w:hAnsi="Book Antiqua"/>
          <w:noProof/>
          <w:sz w:val="24"/>
          <w:lang w:eastAsia="tr-TR"/>
        </w:rPr>
        <w:drawing>
          <wp:anchor distT="0" distB="0" distL="114300" distR="114300" simplePos="0" relativeHeight="251666432" behindDoc="0" locked="0" layoutInCell="1" allowOverlap="1" wp14:anchorId="35274A7E" wp14:editId="3F619D50">
            <wp:simplePos x="0" y="0"/>
            <wp:positionH relativeFrom="column">
              <wp:posOffset>-55245</wp:posOffset>
            </wp:positionH>
            <wp:positionV relativeFrom="paragraph">
              <wp:posOffset>2576830</wp:posOffset>
            </wp:positionV>
            <wp:extent cx="5807710" cy="1628775"/>
            <wp:effectExtent l="19050" t="19050" r="21590" b="2857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807710" cy="16287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C496D">
        <w:rPr>
          <w:rFonts w:ascii="Book Antiqua" w:hAnsi="Book Antiqua"/>
          <w:sz w:val="24"/>
        </w:rPr>
        <w:t xml:space="preserve">Hesaplama tamamlandıktan sonra en üstteki gerçekleşme oranı verisi üzerinde farenin sağ tuşuna tıklanıp hücreleri biçimlendir menüsüne girilir. Buradan yandaki resimde görüldüğü gibi sayı sekmesi seçilir ve ondalık basamak sayısı 2 olarak belirlendikten sonra işlem tamamlanır. Önceki işlemle benzer biçimde en üstteki hücre için işlem yapıldıktan sonra hücrenin sağ alt köşesine gelinerek + sembolü ortaya </w:t>
      </w:r>
      <w:r w:rsidRPr="009C496D">
        <w:rPr>
          <w:rFonts w:ascii="Book Antiqua" w:hAnsi="Book Antiqua"/>
          <w:sz w:val="24"/>
        </w:rPr>
        <w:lastRenderedPageBreak/>
        <w:t>çıktıktan sonra basılı tutulup tablonun sonuna kadar sürüklendiğinde tablonun tamamı için yuvarlama işlemi yapılmış olacaktır.</w:t>
      </w:r>
    </w:p>
    <w:p w:rsidR="009C496D" w:rsidRPr="009C496D" w:rsidRDefault="009C496D" w:rsidP="005F7A53">
      <w:pPr>
        <w:spacing w:line="360" w:lineRule="auto"/>
        <w:ind w:firstLine="708"/>
        <w:jc w:val="both"/>
        <w:rPr>
          <w:rFonts w:ascii="Book Antiqua" w:hAnsi="Book Antiqua"/>
          <w:sz w:val="24"/>
        </w:rPr>
      </w:pPr>
      <w:r w:rsidRPr="009C496D">
        <w:rPr>
          <w:rFonts w:ascii="Book Antiqua" w:hAnsi="Book Antiqua"/>
          <w:sz w:val="24"/>
        </w:rPr>
        <w:t>Gerek duyulduğu takdirde bu örnekte verilen hesaplama ve işlem adımlarının sorunsuz ve süratli biçimde tamamlanması için ilgili konulara hâkim personelden yardım istenebilir. Bu aşama, üretilen veriler izleme ve değerlendirme raporunun değerlendirme bulgularına ve bunlara dayanılarak geliştirilecek önerilere temel teşkil edeceğinden hatasız olarak tamamlanmalıdır.</w:t>
      </w:r>
    </w:p>
    <w:p w:rsidR="009C496D" w:rsidRDefault="00441A6E" w:rsidP="00441A6E">
      <w:pPr>
        <w:pStyle w:val="ListeParagraf"/>
        <w:numPr>
          <w:ilvl w:val="0"/>
          <w:numId w:val="1"/>
        </w:numPr>
        <w:spacing w:line="360" w:lineRule="auto"/>
        <w:rPr>
          <w:rFonts w:ascii="Book Antiqua" w:hAnsi="Book Antiqua" w:cs="Times New Roman"/>
          <w:b/>
          <w:sz w:val="24"/>
          <w:szCs w:val="28"/>
        </w:rPr>
      </w:pPr>
      <w:r>
        <w:rPr>
          <w:rFonts w:ascii="Book Antiqua" w:hAnsi="Book Antiqua" w:cs="Times New Roman"/>
          <w:b/>
          <w:sz w:val="24"/>
          <w:szCs w:val="28"/>
        </w:rPr>
        <w:t>Performans göstergesi gerçekleşme durumlarının değerlendirilmesi</w:t>
      </w:r>
    </w:p>
    <w:p w:rsidR="00441A6E" w:rsidRDefault="005248A1" w:rsidP="005248A1">
      <w:pPr>
        <w:spacing w:line="360" w:lineRule="auto"/>
        <w:ind w:firstLine="360"/>
        <w:jc w:val="both"/>
        <w:rPr>
          <w:rFonts w:ascii="Book Antiqua" w:hAnsi="Book Antiqua" w:cs="Times New Roman"/>
          <w:sz w:val="24"/>
          <w:szCs w:val="28"/>
        </w:rPr>
      </w:pPr>
      <w:r>
        <w:rPr>
          <w:rFonts w:ascii="Book Antiqua" w:hAnsi="Book Antiqua" w:cs="Times New Roman"/>
          <w:sz w:val="24"/>
          <w:szCs w:val="28"/>
        </w:rPr>
        <w:t>Gerçekleşme durumları hesaplandıktan sonra her bir faaliyet alanı için ortalama gerçekleşme durumları hesaplanacaktır. Ortalama gerçekleşme durumunun hesaplanması, faaliyet alanındaki tüm performans göstergelerinin gerçekleşme oranlarının toplamının performans göstergesi sayısına bölünmesiyle yapılacaktır.</w:t>
      </w:r>
    </w:p>
    <w:p w:rsidR="005248A1" w:rsidRDefault="005248A1" w:rsidP="005248A1">
      <w:pPr>
        <w:spacing w:line="360" w:lineRule="auto"/>
        <w:ind w:firstLine="360"/>
        <w:jc w:val="both"/>
        <w:rPr>
          <w:rFonts w:ascii="Book Antiqua" w:hAnsi="Book Antiqua" w:cs="Times New Roman"/>
          <w:sz w:val="24"/>
          <w:szCs w:val="28"/>
        </w:rPr>
      </w:pPr>
      <w:r>
        <w:rPr>
          <w:rFonts w:ascii="Book Antiqua" w:hAnsi="Book Antiqua" w:cs="Times New Roman"/>
          <w:sz w:val="24"/>
          <w:szCs w:val="28"/>
        </w:rPr>
        <w:t xml:space="preserve">Örneğin; bir önceki maddede yer alan X faaliyet alanındaki A, B ve C performans göstergelerinin gerçekleşme oranları sırasıyla </w:t>
      </w:r>
      <w:r w:rsidRPr="005248A1">
        <w:rPr>
          <w:rFonts w:ascii="Book Antiqua" w:hAnsi="Book Antiqua" w:cs="Times New Roman"/>
          <w:sz w:val="24"/>
          <w:szCs w:val="28"/>
        </w:rPr>
        <w:t>-334,88</w:t>
      </w:r>
      <w:r>
        <w:rPr>
          <w:rFonts w:ascii="Book Antiqua" w:hAnsi="Book Antiqua" w:cs="Times New Roman"/>
          <w:sz w:val="24"/>
          <w:szCs w:val="28"/>
        </w:rPr>
        <w:t xml:space="preserve">, </w:t>
      </w:r>
      <w:r w:rsidRPr="005248A1">
        <w:rPr>
          <w:rFonts w:ascii="Book Antiqua" w:hAnsi="Book Antiqua" w:cs="Times New Roman"/>
          <w:sz w:val="24"/>
          <w:szCs w:val="28"/>
        </w:rPr>
        <w:t>85,95</w:t>
      </w:r>
      <w:r>
        <w:rPr>
          <w:rFonts w:ascii="Book Antiqua" w:hAnsi="Book Antiqua" w:cs="Times New Roman"/>
          <w:sz w:val="24"/>
          <w:szCs w:val="28"/>
        </w:rPr>
        <w:t xml:space="preserve"> ve </w:t>
      </w:r>
      <w:r w:rsidRPr="005248A1">
        <w:rPr>
          <w:rFonts w:ascii="Book Antiqua" w:hAnsi="Book Antiqua" w:cs="Times New Roman"/>
          <w:sz w:val="24"/>
          <w:szCs w:val="28"/>
        </w:rPr>
        <w:t>138,78</w:t>
      </w:r>
      <w:r>
        <w:rPr>
          <w:rFonts w:ascii="Book Antiqua" w:hAnsi="Book Antiqua" w:cs="Times New Roman"/>
          <w:sz w:val="24"/>
          <w:szCs w:val="28"/>
        </w:rPr>
        <w:t xml:space="preserve"> olarak hesaplanmıştı. Bu durumda X faaliyet alanının </w:t>
      </w:r>
      <w:r w:rsidR="0030731C">
        <w:rPr>
          <w:rFonts w:ascii="Book Antiqua" w:hAnsi="Book Antiqua" w:cs="Times New Roman"/>
          <w:sz w:val="24"/>
          <w:szCs w:val="28"/>
        </w:rPr>
        <w:t>ortalama gerçekleşme oranı</w:t>
      </w:r>
    </w:p>
    <w:p w:rsidR="0030731C" w:rsidRPr="005248A1" w:rsidRDefault="0030731C" w:rsidP="005248A1">
      <w:pPr>
        <w:spacing w:line="360" w:lineRule="auto"/>
        <w:ind w:firstLine="360"/>
        <w:jc w:val="both"/>
        <w:rPr>
          <w:rFonts w:ascii="Book Antiqua" w:hAnsi="Book Antiqua" w:cs="Times New Roman"/>
          <w:sz w:val="24"/>
          <w:szCs w:val="28"/>
        </w:rPr>
      </w:pPr>
      <m:oMathPara>
        <m:oMath>
          <m:r>
            <w:rPr>
              <w:rFonts w:ascii="Cambria Math" w:hAnsi="Cambria Math" w:cs="Times New Roman"/>
              <w:sz w:val="24"/>
              <w:szCs w:val="28"/>
            </w:rPr>
            <m:t>x=</m:t>
          </m:r>
          <m:f>
            <m:fPr>
              <m:ctrlPr>
                <w:rPr>
                  <w:rFonts w:ascii="Cambria Math" w:hAnsi="Cambria Math" w:cs="Times New Roman"/>
                  <w:i/>
                  <w:sz w:val="24"/>
                  <w:szCs w:val="28"/>
                </w:rPr>
              </m:ctrlPr>
            </m:fPr>
            <m:num>
              <m:r>
                <m:rPr>
                  <m:sty m:val="p"/>
                </m:rPr>
                <w:rPr>
                  <w:rFonts w:ascii="Cambria Math" w:hAnsi="Cambria Math" w:cs="Times New Roman"/>
                  <w:sz w:val="24"/>
                  <w:szCs w:val="28"/>
                </w:rPr>
                <m:t>-334,88+85,95+138,78</m:t>
              </m:r>
            </m:num>
            <m:den>
              <m:r>
                <w:rPr>
                  <w:rFonts w:ascii="Cambria Math" w:hAnsi="Cambria Math" w:cs="Times New Roman"/>
                  <w:sz w:val="24"/>
                  <w:szCs w:val="28"/>
                </w:rPr>
                <m:t>3</m:t>
              </m:r>
            </m:den>
          </m:f>
          <m:r>
            <w:rPr>
              <w:rFonts w:ascii="Cambria Math" w:hAnsi="Cambria Math" w:cs="Times New Roman"/>
              <w:sz w:val="24"/>
              <w:szCs w:val="28"/>
            </w:rPr>
            <m:t>=-36,72</m:t>
          </m:r>
        </m:oMath>
      </m:oMathPara>
    </w:p>
    <w:p w:rsidR="00537770" w:rsidRDefault="0030731C" w:rsidP="00065598">
      <w:pPr>
        <w:spacing w:line="360" w:lineRule="auto"/>
        <w:jc w:val="both"/>
        <w:rPr>
          <w:rFonts w:ascii="Book Antiqua" w:hAnsi="Book Antiqua" w:cs="Times New Roman"/>
          <w:sz w:val="24"/>
          <w:szCs w:val="28"/>
        </w:rPr>
      </w:pPr>
      <w:proofErr w:type="gramStart"/>
      <w:r>
        <w:rPr>
          <w:rFonts w:ascii="Book Antiqua" w:hAnsi="Book Antiqua" w:cs="Times New Roman"/>
          <w:sz w:val="24"/>
          <w:szCs w:val="28"/>
        </w:rPr>
        <w:t>olarak</w:t>
      </w:r>
      <w:proofErr w:type="gramEnd"/>
      <w:r>
        <w:rPr>
          <w:rFonts w:ascii="Book Antiqua" w:hAnsi="Book Antiqua" w:cs="Times New Roman"/>
          <w:sz w:val="24"/>
          <w:szCs w:val="28"/>
        </w:rPr>
        <w:t xml:space="preserve"> </w:t>
      </w:r>
      <w:r w:rsidR="00065598">
        <w:rPr>
          <w:rFonts w:ascii="Book Antiqua" w:hAnsi="Book Antiqua" w:cs="Times New Roman"/>
          <w:sz w:val="24"/>
          <w:szCs w:val="28"/>
        </w:rPr>
        <w:t>hesaplanabilir.</w:t>
      </w:r>
      <w:r w:rsidR="00A47AFC">
        <w:rPr>
          <w:rFonts w:ascii="Book Antiqua" w:hAnsi="Book Antiqua" w:cs="Times New Roman"/>
          <w:sz w:val="24"/>
          <w:szCs w:val="28"/>
        </w:rPr>
        <w:t xml:space="preserve"> Ortalama gerçekleşme oranları faaliyet alanları performans göstergeleri tablolarındaki “ortalama gerçekleşme” hücresine işlenmelidir.</w:t>
      </w:r>
    </w:p>
    <w:p w:rsidR="00537770" w:rsidRDefault="00537770" w:rsidP="00A434A3">
      <w:pPr>
        <w:spacing w:line="360" w:lineRule="auto"/>
        <w:ind w:firstLine="708"/>
        <w:jc w:val="both"/>
        <w:rPr>
          <w:rFonts w:ascii="Book Antiqua" w:hAnsi="Book Antiqua" w:cs="Times New Roman"/>
          <w:sz w:val="24"/>
          <w:szCs w:val="28"/>
        </w:rPr>
      </w:pPr>
      <w:r>
        <w:rPr>
          <w:rFonts w:ascii="Book Antiqua" w:hAnsi="Book Antiqua" w:cs="Times New Roman"/>
          <w:sz w:val="24"/>
          <w:szCs w:val="28"/>
        </w:rPr>
        <w:t>Ardından ilk olarak gerçekleşme durumlarına göre performans göstergeleri değerlendirme kısmındaki “g</w:t>
      </w:r>
      <w:r w:rsidRPr="00537770">
        <w:rPr>
          <w:rFonts w:ascii="Book Antiqua" w:hAnsi="Book Antiqua" w:cs="Times New Roman"/>
          <w:sz w:val="24"/>
          <w:szCs w:val="28"/>
        </w:rPr>
        <w:t>erileme gözlenen göstergeler, %0-50 arası gerçekleşme gözlenen göstergeler, %50-69,99 arası gerçekleşme gözlenen göstergeler, %70-99,9 arası gerçekleşme gözlenen göstergeler, %100 ve üzeri gerçekleşme gözlenen göstergeler</w:t>
      </w:r>
      <w:r>
        <w:rPr>
          <w:rFonts w:ascii="Book Antiqua" w:hAnsi="Book Antiqua" w:cs="Times New Roman"/>
          <w:sz w:val="24"/>
          <w:szCs w:val="28"/>
        </w:rPr>
        <w:t>i” bölümlerine yazılacaktır</w:t>
      </w:r>
      <w:r w:rsidRPr="00537770">
        <w:rPr>
          <w:rFonts w:ascii="Book Antiqua" w:hAnsi="Book Antiqua" w:cs="Times New Roman"/>
          <w:sz w:val="24"/>
          <w:szCs w:val="28"/>
        </w:rPr>
        <w:t>.</w:t>
      </w:r>
    </w:p>
    <w:p w:rsidR="009C496D" w:rsidRPr="00E342D3" w:rsidRDefault="00A47AFC" w:rsidP="00A434A3">
      <w:pPr>
        <w:spacing w:line="360" w:lineRule="auto"/>
        <w:ind w:firstLine="708"/>
        <w:jc w:val="both"/>
        <w:rPr>
          <w:rFonts w:ascii="Book Antiqua" w:hAnsi="Book Antiqua"/>
          <w:color w:val="0070C0"/>
          <w:sz w:val="20"/>
        </w:rPr>
      </w:pPr>
      <w:r>
        <w:rPr>
          <w:rFonts w:ascii="Book Antiqua" w:hAnsi="Book Antiqua" w:cs="Times New Roman"/>
          <w:sz w:val="24"/>
          <w:szCs w:val="28"/>
        </w:rPr>
        <w:t xml:space="preserve">Sonra </w:t>
      </w:r>
      <w:r w:rsidRPr="00A47AFC">
        <w:rPr>
          <w:rFonts w:ascii="Book Antiqua" w:hAnsi="Book Antiqua" w:cs="Times New Roman"/>
          <w:sz w:val="24"/>
          <w:szCs w:val="28"/>
        </w:rPr>
        <w:t>“</w:t>
      </w:r>
      <w:r w:rsidRPr="00A47AFC">
        <w:rPr>
          <w:rFonts w:ascii="Book Antiqua" w:hAnsi="Book Antiqua"/>
          <w:sz w:val="24"/>
        </w:rPr>
        <w:t>Faaliyet Alanlarının Gerçekleşme Bulguları”</w:t>
      </w:r>
      <w:r>
        <w:rPr>
          <w:rFonts w:ascii="Book Antiqua" w:hAnsi="Book Antiqua"/>
          <w:sz w:val="24"/>
        </w:rPr>
        <w:t xml:space="preserve"> </w:t>
      </w:r>
      <w:r w:rsidR="00A65550">
        <w:rPr>
          <w:rFonts w:ascii="Book Antiqua" w:hAnsi="Book Antiqua"/>
          <w:sz w:val="24"/>
        </w:rPr>
        <w:t>p</w:t>
      </w:r>
      <w:r w:rsidR="00A65550" w:rsidRPr="00A65550">
        <w:rPr>
          <w:rFonts w:ascii="Book Antiqua" w:hAnsi="Book Antiqua"/>
          <w:sz w:val="24"/>
        </w:rPr>
        <w:t>erformans göstergeleri</w:t>
      </w:r>
      <w:r w:rsidR="00A65550">
        <w:rPr>
          <w:rFonts w:ascii="Book Antiqua" w:hAnsi="Book Antiqua"/>
          <w:sz w:val="24"/>
        </w:rPr>
        <w:t>nin tablolarındaki ortalama gerçekleşme</w:t>
      </w:r>
      <w:r w:rsidR="00A65550" w:rsidRPr="00A65550">
        <w:rPr>
          <w:rFonts w:ascii="Book Antiqua" w:hAnsi="Book Antiqua"/>
          <w:sz w:val="24"/>
        </w:rPr>
        <w:t xml:space="preserve"> </w:t>
      </w:r>
      <w:r w:rsidR="00A65550">
        <w:rPr>
          <w:rFonts w:ascii="Book Antiqua" w:hAnsi="Book Antiqua"/>
          <w:sz w:val="24"/>
        </w:rPr>
        <w:t xml:space="preserve">dikkate alınarak </w:t>
      </w:r>
      <w:r w:rsidR="00A65550" w:rsidRPr="00A65550">
        <w:rPr>
          <w:rFonts w:ascii="Book Antiqua" w:hAnsi="Book Antiqua"/>
          <w:sz w:val="24"/>
        </w:rPr>
        <w:t xml:space="preserve">%0-50 arası gerçekleşme gözlenen </w:t>
      </w:r>
      <w:r w:rsidR="00A65550">
        <w:rPr>
          <w:rFonts w:ascii="Book Antiqua" w:hAnsi="Book Antiqua"/>
          <w:sz w:val="24"/>
        </w:rPr>
        <w:t>faaliyet alanları</w:t>
      </w:r>
      <w:r w:rsidR="00A65550" w:rsidRPr="00A65550">
        <w:rPr>
          <w:rFonts w:ascii="Book Antiqua" w:hAnsi="Book Antiqua"/>
          <w:sz w:val="24"/>
        </w:rPr>
        <w:t xml:space="preserve">, %50-69,99 arası gerçekleşme gözlenen </w:t>
      </w:r>
      <w:r w:rsidR="00A65550">
        <w:rPr>
          <w:rFonts w:ascii="Book Antiqua" w:hAnsi="Book Antiqua"/>
          <w:sz w:val="24"/>
        </w:rPr>
        <w:t>faaliyet alanları</w:t>
      </w:r>
      <w:r w:rsidR="00A65550" w:rsidRPr="00A65550">
        <w:rPr>
          <w:rFonts w:ascii="Book Antiqua" w:hAnsi="Book Antiqua"/>
          <w:sz w:val="24"/>
        </w:rPr>
        <w:t xml:space="preserve">, %70-99,9 arası gerçekleşme gözlenen </w:t>
      </w:r>
      <w:r w:rsidR="00A65550">
        <w:rPr>
          <w:rFonts w:ascii="Book Antiqua" w:hAnsi="Book Antiqua"/>
          <w:sz w:val="24"/>
        </w:rPr>
        <w:t>faaliyet alanları</w:t>
      </w:r>
      <w:r w:rsidR="00A65550" w:rsidRPr="00A65550">
        <w:rPr>
          <w:rFonts w:ascii="Book Antiqua" w:hAnsi="Book Antiqua"/>
          <w:sz w:val="24"/>
        </w:rPr>
        <w:t xml:space="preserve">, %100 ve üzeri gerçekleşme gözlenen </w:t>
      </w:r>
      <w:r w:rsidR="00A65550">
        <w:rPr>
          <w:rFonts w:ascii="Book Antiqua" w:hAnsi="Book Antiqua"/>
          <w:sz w:val="24"/>
        </w:rPr>
        <w:t>faaliyet alanları</w:t>
      </w:r>
      <w:r w:rsidR="00A65550" w:rsidRPr="00A65550">
        <w:rPr>
          <w:rFonts w:ascii="Book Antiqua" w:hAnsi="Book Antiqua"/>
          <w:sz w:val="24"/>
        </w:rPr>
        <w:t>” bölümlerine yazılacaktır.</w:t>
      </w:r>
    </w:p>
    <w:p w:rsidR="009C496D" w:rsidRPr="00492444" w:rsidRDefault="00492444" w:rsidP="00492444">
      <w:pPr>
        <w:pStyle w:val="ListeParagraf"/>
        <w:numPr>
          <w:ilvl w:val="0"/>
          <w:numId w:val="1"/>
        </w:numPr>
        <w:spacing w:before="240" w:line="360" w:lineRule="auto"/>
        <w:jc w:val="both"/>
        <w:rPr>
          <w:rFonts w:ascii="Book Antiqua" w:eastAsiaTheme="minorEastAsia" w:hAnsi="Book Antiqua" w:cs="Times New Roman"/>
          <w:b/>
          <w:sz w:val="24"/>
        </w:rPr>
      </w:pPr>
      <w:r>
        <w:rPr>
          <w:rFonts w:ascii="Book Antiqua" w:eastAsiaTheme="minorEastAsia" w:hAnsi="Book Antiqua" w:cs="Times New Roman"/>
          <w:b/>
          <w:sz w:val="24"/>
        </w:rPr>
        <w:lastRenderedPageBreak/>
        <w:t>Faaliyet alanları</w:t>
      </w:r>
      <w:r w:rsidRPr="00492444">
        <w:rPr>
          <w:rFonts w:ascii="Book Antiqua" w:eastAsiaTheme="minorEastAsia" w:hAnsi="Book Antiqua" w:cs="Times New Roman"/>
          <w:b/>
          <w:sz w:val="24"/>
        </w:rPr>
        <w:t xml:space="preserve"> kapsamında gerçekleştirilecek faaliyetlerin izlenmesi</w:t>
      </w:r>
    </w:p>
    <w:p w:rsidR="00492444" w:rsidRDefault="00492444" w:rsidP="00492444">
      <w:pPr>
        <w:spacing w:before="240" w:line="360" w:lineRule="auto"/>
        <w:ind w:firstLine="708"/>
        <w:jc w:val="both"/>
        <w:rPr>
          <w:rFonts w:ascii="Book Antiqua" w:hAnsi="Book Antiqua" w:cs="Times New Roman"/>
          <w:sz w:val="24"/>
        </w:rPr>
      </w:pPr>
      <w:r w:rsidRPr="00492444">
        <w:rPr>
          <w:rFonts w:ascii="Book Antiqua" w:hAnsi="Book Antiqua" w:cs="Times New Roman"/>
          <w:sz w:val="24"/>
        </w:rPr>
        <w:t xml:space="preserve">Performans göstergelerine ilişkin veriler girildikten sonra performans göstergesi tablolarının altındaki bölümlere </w:t>
      </w:r>
      <w:r>
        <w:rPr>
          <w:rFonts w:ascii="Book Antiqua" w:hAnsi="Book Antiqua" w:cs="Times New Roman"/>
          <w:sz w:val="24"/>
        </w:rPr>
        <w:t>ilgili faaliyetlerin bilgileri girilecektir. Faaliyet bilgilerinin girilmesinde</w:t>
      </w:r>
      <w:r w:rsidR="00873D95">
        <w:rPr>
          <w:rFonts w:ascii="Book Antiqua" w:hAnsi="Book Antiqua" w:cs="Times New Roman"/>
          <w:sz w:val="24"/>
        </w:rPr>
        <w:t>,</w:t>
      </w:r>
      <w:r>
        <w:rPr>
          <w:rFonts w:ascii="Book Antiqua" w:hAnsi="Book Antiqua" w:cs="Times New Roman"/>
          <w:sz w:val="24"/>
        </w:rPr>
        <w:t xml:space="preserve"> stratejik planda yer alan faaliyet alanları ile ilişkili stratejiler kapsamında </w:t>
      </w:r>
      <w:r w:rsidR="00873D95">
        <w:rPr>
          <w:rFonts w:ascii="Book Antiqua" w:hAnsi="Book Antiqua" w:cs="Times New Roman"/>
          <w:sz w:val="24"/>
        </w:rPr>
        <w:t>yürütülmüş faaliyet ve projeler dikkate alınmalıdır.</w:t>
      </w:r>
    </w:p>
    <w:p w:rsidR="00277B54" w:rsidRDefault="00277B54" w:rsidP="00492444">
      <w:pPr>
        <w:spacing w:before="240" w:line="360" w:lineRule="auto"/>
        <w:ind w:firstLine="708"/>
        <w:jc w:val="both"/>
        <w:rPr>
          <w:rFonts w:ascii="Book Antiqua" w:hAnsi="Book Antiqua" w:cs="Times New Roman"/>
          <w:sz w:val="24"/>
        </w:rPr>
      </w:pPr>
      <w:r>
        <w:rPr>
          <w:rFonts w:ascii="Book Antiqua" w:hAnsi="Book Antiqua" w:cs="Times New Roman"/>
          <w:sz w:val="24"/>
        </w:rPr>
        <w:t>Faaliyet tabloları için örnek doldurma biçimi aşağıda sunulmuştur.</w:t>
      </w:r>
    </w:p>
    <w:p w:rsidR="00645E0B" w:rsidRPr="00BD486A" w:rsidRDefault="00645E0B" w:rsidP="00277B54">
      <w:pPr>
        <w:spacing w:after="200" w:line="276" w:lineRule="auto"/>
        <w:rPr>
          <w:rFonts w:ascii="Book Antiqua" w:eastAsia="Calibri" w:hAnsi="Book Antiqua" w:cs="Times New Roman"/>
          <w:b/>
          <w:i/>
          <w:color w:val="C45911" w:themeColor="accent2" w:themeShade="BF"/>
          <w:sz w:val="24"/>
          <w:szCs w:val="24"/>
        </w:rPr>
      </w:pPr>
      <w:r w:rsidRPr="00BD486A">
        <w:rPr>
          <w:rFonts w:ascii="Book Antiqua" w:eastAsia="Calibri" w:hAnsi="Book Antiqua" w:cs="Times New Roman"/>
          <w:b/>
          <w:i/>
          <w:color w:val="C45911" w:themeColor="accent2" w:themeShade="BF"/>
          <w:sz w:val="24"/>
          <w:szCs w:val="24"/>
        </w:rPr>
        <w:t>Faaliyet Tablo</w:t>
      </w:r>
      <w:r w:rsidR="000D10DD">
        <w:rPr>
          <w:rFonts w:ascii="Book Antiqua" w:eastAsia="Calibri" w:hAnsi="Book Antiqua" w:cs="Times New Roman"/>
          <w:b/>
          <w:i/>
          <w:color w:val="C45911" w:themeColor="accent2" w:themeShade="BF"/>
          <w:sz w:val="24"/>
          <w:szCs w:val="24"/>
        </w:rPr>
        <w:t>ları</w:t>
      </w:r>
      <w:r w:rsidRPr="00BD486A">
        <w:rPr>
          <w:rFonts w:ascii="Book Antiqua" w:eastAsia="Calibri" w:hAnsi="Book Antiqua" w:cs="Times New Roman"/>
          <w:b/>
          <w:i/>
          <w:color w:val="C45911" w:themeColor="accent2" w:themeShade="BF"/>
          <w:sz w:val="24"/>
          <w:szCs w:val="24"/>
        </w:rPr>
        <w:t xml:space="preserve"> İçin Örnek</w:t>
      </w:r>
      <w:r w:rsidR="000D10DD">
        <w:rPr>
          <w:rFonts w:ascii="Book Antiqua" w:eastAsia="Calibri" w:hAnsi="Book Antiqua" w:cs="Times New Roman"/>
          <w:b/>
          <w:i/>
          <w:color w:val="C45911" w:themeColor="accent2" w:themeShade="BF"/>
          <w:sz w:val="24"/>
          <w:szCs w:val="24"/>
        </w:rPr>
        <w:t>ler</w:t>
      </w:r>
    </w:p>
    <w:p w:rsidR="00277B54" w:rsidRPr="00277B54" w:rsidRDefault="00DE2E11" w:rsidP="00277B54">
      <w:pPr>
        <w:spacing w:after="200" w:line="276" w:lineRule="auto"/>
        <w:rPr>
          <w:rFonts w:ascii="Book Antiqua" w:eastAsia="Calibri" w:hAnsi="Book Antiqua" w:cs="Times New Roman"/>
          <w:b/>
          <w:i/>
          <w:sz w:val="28"/>
          <w:szCs w:val="24"/>
        </w:rPr>
      </w:pPr>
      <w:r w:rsidRPr="00DE2E11">
        <w:rPr>
          <w:rFonts w:ascii="Book Antiqua" w:eastAsia="Calibri" w:hAnsi="Book Antiqua" w:cs="Times New Roman"/>
          <w:b/>
          <w:sz w:val="24"/>
        </w:rPr>
        <w:t>Okullaşma ile ilgili 2018 yılı içerisin</w:t>
      </w:r>
      <w:r>
        <w:rPr>
          <w:rFonts w:ascii="Book Antiqua" w:eastAsia="Calibri" w:hAnsi="Book Antiqua" w:cs="Times New Roman"/>
          <w:b/>
          <w:sz w:val="24"/>
        </w:rPr>
        <w:t>de gerçekleştirilen faaliyetler</w:t>
      </w:r>
    </w:p>
    <w:tbl>
      <w:tblPr>
        <w:tblStyle w:val="TabloKlavuzu1"/>
        <w:tblW w:w="0" w:type="auto"/>
        <w:jc w:val="center"/>
        <w:tblLook w:val="04A0" w:firstRow="1" w:lastRow="0" w:firstColumn="1" w:lastColumn="0" w:noHBand="0" w:noVBand="1"/>
      </w:tblPr>
      <w:tblGrid>
        <w:gridCol w:w="494"/>
        <w:gridCol w:w="1826"/>
        <w:gridCol w:w="5622"/>
        <w:gridCol w:w="1346"/>
      </w:tblGrid>
      <w:tr w:rsidR="00277B54" w:rsidRPr="00277B54" w:rsidTr="00645E0B">
        <w:trPr>
          <w:trHeight w:val="350"/>
          <w:jc w:val="center"/>
        </w:trPr>
        <w:tc>
          <w:tcPr>
            <w:tcW w:w="0" w:type="auto"/>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No</w:t>
            </w:r>
          </w:p>
        </w:tc>
        <w:tc>
          <w:tcPr>
            <w:tcW w:w="0" w:type="auto"/>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Faaliyet veya Proje Adı</w:t>
            </w:r>
          </w:p>
        </w:tc>
        <w:tc>
          <w:tcPr>
            <w:tcW w:w="0" w:type="auto"/>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Faaliyet veya Proje Kapsamında Gerçekleştirilenler</w:t>
            </w:r>
          </w:p>
        </w:tc>
        <w:tc>
          <w:tcPr>
            <w:tcW w:w="0" w:type="auto"/>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Durum</w:t>
            </w:r>
          </w:p>
        </w:tc>
      </w:tr>
      <w:tr w:rsidR="00277B54" w:rsidRPr="00277B54" w:rsidTr="00645E0B">
        <w:trPr>
          <w:trHeight w:val="1403"/>
          <w:jc w:val="center"/>
        </w:trPr>
        <w:tc>
          <w:tcPr>
            <w:tcW w:w="0" w:type="auto"/>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1</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Eğitimin önemi hakkında bilgilendirme çalışmaları</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Okullaşma oranlarının düşük olduğu bölgelerde eğitimin önemi hakkında bilgilendirme çalışmaları yapmak üzere bilgilendirme toplantılarına devam edilmiştir. Temel eğitimden ortaöğretime geçiş yapacak öğrencileri bilgilendirmeye yönelik Ortaöğretim Genel Müdürlüğümüzün internet sayfasında bağlı okulların tanıtımına yönelik bölüm oluşturulmuştur.</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Tamamlandı</w:t>
            </w:r>
          </w:p>
        </w:tc>
      </w:tr>
    </w:tbl>
    <w:p w:rsidR="00277B54" w:rsidRPr="00277B54" w:rsidRDefault="00DE2E11" w:rsidP="00645E0B">
      <w:pPr>
        <w:spacing w:before="240" w:after="200" w:line="276" w:lineRule="auto"/>
        <w:rPr>
          <w:rFonts w:ascii="Book Antiqua" w:eastAsia="Calibri" w:hAnsi="Book Antiqua" w:cs="Times New Roman"/>
          <w:b/>
          <w:sz w:val="24"/>
        </w:rPr>
      </w:pPr>
      <w:r w:rsidRPr="004A498C">
        <w:rPr>
          <w:rFonts w:ascii="Book Antiqua" w:eastAsia="Calibri" w:hAnsi="Book Antiqua" w:cs="Times New Roman"/>
          <w:b/>
          <w:sz w:val="24"/>
        </w:rPr>
        <w:t>Yabancı Dil Yeterliliği İle İlgili 2018 Yılı İçerisinde Gerçekleştirilen Faaliyetler</w:t>
      </w:r>
    </w:p>
    <w:tbl>
      <w:tblPr>
        <w:tblStyle w:val="TabloKlavuzu1"/>
        <w:tblW w:w="0" w:type="auto"/>
        <w:jc w:val="center"/>
        <w:tblLook w:val="04A0" w:firstRow="1" w:lastRow="0" w:firstColumn="1" w:lastColumn="0" w:noHBand="0" w:noVBand="1"/>
      </w:tblPr>
      <w:tblGrid>
        <w:gridCol w:w="494"/>
        <w:gridCol w:w="2680"/>
        <w:gridCol w:w="4739"/>
        <w:gridCol w:w="1375"/>
      </w:tblGrid>
      <w:tr w:rsidR="00BD486A" w:rsidRPr="00277B54" w:rsidTr="00645E0B">
        <w:trPr>
          <w:trHeight w:val="350"/>
          <w:jc w:val="center"/>
        </w:trPr>
        <w:tc>
          <w:tcPr>
            <w:tcW w:w="0" w:type="auto"/>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No</w:t>
            </w:r>
          </w:p>
        </w:tc>
        <w:tc>
          <w:tcPr>
            <w:tcW w:w="0" w:type="auto"/>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Faaliyet veya Proje Adı</w:t>
            </w:r>
          </w:p>
        </w:tc>
        <w:tc>
          <w:tcPr>
            <w:tcW w:w="0" w:type="auto"/>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Faaliyet veya Proje Kapsamında Gerçekleştirilenler</w:t>
            </w:r>
          </w:p>
        </w:tc>
        <w:tc>
          <w:tcPr>
            <w:tcW w:w="0" w:type="auto"/>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Durum</w:t>
            </w:r>
          </w:p>
        </w:tc>
      </w:tr>
      <w:tr w:rsidR="00BD486A" w:rsidRPr="00277B54" w:rsidTr="00645E0B">
        <w:trPr>
          <w:trHeight w:val="525"/>
          <w:jc w:val="center"/>
        </w:trPr>
        <w:tc>
          <w:tcPr>
            <w:tcW w:w="0" w:type="auto"/>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1</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Ortak yabancı dil sınavı</w:t>
            </w:r>
          </w:p>
        </w:tc>
        <w:tc>
          <w:tcPr>
            <w:tcW w:w="0" w:type="auto"/>
          </w:tcPr>
          <w:p w:rsidR="00277B54" w:rsidRPr="00277B54" w:rsidRDefault="00277B54" w:rsidP="00BD486A">
            <w:pPr>
              <w:rPr>
                <w:rFonts w:ascii="Book Antiqua" w:eastAsia="Calibri" w:hAnsi="Book Antiqua" w:cs="Times New Roman"/>
                <w:sz w:val="20"/>
              </w:rPr>
            </w:pPr>
            <w:r w:rsidRPr="00277B54">
              <w:rPr>
                <w:rFonts w:ascii="Book Antiqua" w:eastAsia="Calibri" w:hAnsi="Book Antiqua" w:cs="Times New Roman"/>
                <w:sz w:val="20"/>
              </w:rPr>
              <w:t>Şubat/2017 döneminde Hazırlık sınıfı bulunan 27 proje okulunda 2100 öğrencinin katıldığı ortak yabancı dil sınavı yapılmıştır.</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Tamamlandı</w:t>
            </w:r>
          </w:p>
        </w:tc>
      </w:tr>
      <w:tr w:rsidR="00BD486A" w:rsidRPr="00277B54" w:rsidTr="00645E0B">
        <w:trPr>
          <w:trHeight w:val="350"/>
          <w:jc w:val="center"/>
        </w:trPr>
        <w:tc>
          <w:tcPr>
            <w:tcW w:w="0" w:type="auto"/>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2</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Ortaokullarının 5. Sınıflarında haftada 15 saat yabancı dil ağırlıklı eğitim uygulaması</w:t>
            </w:r>
          </w:p>
        </w:tc>
        <w:tc>
          <w:tcPr>
            <w:tcW w:w="0" w:type="auto"/>
          </w:tcPr>
          <w:p w:rsidR="00277B54" w:rsidRPr="00277B54" w:rsidRDefault="00277B54" w:rsidP="00BD486A">
            <w:pPr>
              <w:rPr>
                <w:rFonts w:ascii="Book Antiqua" w:eastAsia="Calibri" w:hAnsi="Book Antiqua" w:cs="Times New Roman"/>
                <w:sz w:val="20"/>
              </w:rPr>
            </w:pPr>
            <w:r w:rsidRPr="00277B54">
              <w:rPr>
                <w:rFonts w:ascii="Book Antiqua" w:eastAsia="Calibri" w:hAnsi="Book Antiqua" w:cs="Times New Roman"/>
                <w:sz w:val="20"/>
              </w:rPr>
              <w:t>2017-201</w:t>
            </w:r>
            <w:r w:rsidR="00BD486A">
              <w:rPr>
                <w:rFonts w:ascii="Book Antiqua" w:eastAsia="Calibri" w:hAnsi="Book Antiqua" w:cs="Times New Roman"/>
                <w:sz w:val="20"/>
              </w:rPr>
              <w:t>8 eğitim öğretim</w:t>
            </w:r>
            <w:r w:rsidRPr="00277B54">
              <w:rPr>
                <w:rFonts w:ascii="Book Antiqua" w:eastAsia="Calibri" w:hAnsi="Book Antiqua" w:cs="Times New Roman"/>
                <w:sz w:val="20"/>
              </w:rPr>
              <w:t xml:space="preserve"> yılında 81 i</w:t>
            </w:r>
            <w:r w:rsidR="00BD486A">
              <w:rPr>
                <w:rFonts w:ascii="Book Antiqua" w:eastAsia="Calibri" w:hAnsi="Book Antiqua" w:cs="Times New Roman"/>
                <w:sz w:val="20"/>
              </w:rPr>
              <w:t xml:space="preserve">l milli </w:t>
            </w:r>
            <w:r w:rsidRPr="00277B54">
              <w:rPr>
                <w:rFonts w:ascii="Book Antiqua" w:eastAsia="Calibri" w:hAnsi="Book Antiqua" w:cs="Times New Roman"/>
                <w:sz w:val="20"/>
              </w:rPr>
              <w:t>eğitim müdürlüğünce belirlenen ortaokul ve imam hatip Ortaokullarının 5. sınıflarında haftada 15 saat yabancı dil ağırlıklı eğitim uygulaması başlatılmıştır.</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Devam ediyor</w:t>
            </w:r>
          </w:p>
        </w:tc>
      </w:tr>
      <w:tr w:rsidR="00BD486A" w:rsidRPr="00277B54" w:rsidTr="00645E0B">
        <w:trPr>
          <w:trHeight w:val="350"/>
          <w:jc w:val="center"/>
        </w:trPr>
        <w:tc>
          <w:tcPr>
            <w:tcW w:w="0" w:type="auto"/>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3</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EBA kapsamında yabancı dil eğitimini destekleyecek çalışmalar</w:t>
            </w:r>
          </w:p>
        </w:tc>
        <w:tc>
          <w:tcPr>
            <w:tcW w:w="0" w:type="auto"/>
          </w:tcPr>
          <w:p w:rsidR="00277B54" w:rsidRPr="00277B54" w:rsidRDefault="00277B54" w:rsidP="00BD486A">
            <w:pPr>
              <w:rPr>
                <w:rFonts w:ascii="Book Antiqua" w:eastAsia="Calibri" w:hAnsi="Book Antiqua" w:cs="Times New Roman"/>
                <w:sz w:val="20"/>
              </w:rPr>
            </w:pPr>
            <w:r w:rsidRPr="00277B54">
              <w:rPr>
                <w:rFonts w:ascii="Book Antiqua" w:eastAsia="Calibri" w:hAnsi="Book Antiqua" w:cs="Times New Roman"/>
                <w:sz w:val="20"/>
              </w:rPr>
              <w:t xml:space="preserve">EBA’ </w:t>
            </w:r>
            <w:r w:rsidR="00BD486A">
              <w:rPr>
                <w:rFonts w:ascii="Book Antiqua" w:eastAsia="Calibri" w:hAnsi="Book Antiqua" w:cs="Times New Roman"/>
                <w:sz w:val="20"/>
              </w:rPr>
              <w:t xml:space="preserve">da yabancı dili destekleyecek </w:t>
            </w:r>
            <w:r w:rsidRPr="00277B54">
              <w:rPr>
                <w:rFonts w:ascii="Book Antiqua" w:eastAsia="Calibri" w:hAnsi="Book Antiqua" w:cs="Times New Roman"/>
                <w:sz w:val="20"/>
              </w:rPr>
              <w:t>eğitim</w:t>
            </w:r>
            <w:r w:rsidR="00BD486A">
              <w:rPr>
                <w:rFonts w:ascii="Book Antiqua" w:eastAsia="Calibri" w:hAnsi="Book Antiqua" w:cs="Times New Roman"/>
                <w:sz w:val="20"/>
              </w:rPr>
              <w:t xml:space="preserve"> </w:t>
            </w:r>
            <w:r w:rsidRPr="00277B54">
              <w:rPr>
                <w:rFonts w:ascii="Book Antiqua" w:eastAsia="Calibri" w:hAnsi="Book Antiqua" w:cs="Times New Roman"/>
                <w:sz w:val="20"/>
              </w:rPr>
              <w:t>içerikleri bulunmaktadır.</w:t>
            </w:r>
            <w:r w:rsidR="00BD486A">
              <w:rPr>
                <w:rFonts w:ascii="Book Antiqua" w:eastAsia="Calibri" w:hAnsi="Book Antiqua" w:cs="Times New Roman"/>
                <w:sz w:val="20"/>
              </w:rPr>
              <w:t xml:space="preserve"> </w:t>
            </w:r>
            <w:r w:rsidRPr="00277B54">
              <w:rPr>
                <w:rFonts w:ascii="Book Antiqua" w:eastAsia="Calibri" w:hAnsi="Book Antiqua" w:cs="Times New Roman"/>
                <w:sz w:val="20"/>
              </w:rPr>
              <w:t>Hâlihazırda 4-5-6-7-8-9-10. sınıf İngilizce içerikleri yayınlanmaktadır.</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Devam Ediyor</w:t>
            </w:r>
          </w:p>
        </w:tc>
      </w:tr>
    </w:tbl>
    <w:p w:rsidR="00277B54" w:rsidRPr="00277B54" w:rsidRDefault="004A498C" w:rsidP="00DE2E11">
      <w:pPr>
        <w:spacing w:before="240" w:after="200" w:line="276" w:lineRule="auto"/>
        <w:rPr>
          <w:rFonts w:ascii="Book Antiqua" w:eastAsia="Calibri" w:hAnsi="Book Antiqua" w:cs="Times New Roman"/>
          <w:b/>
          <w:sz w:val="24"/>
        </w:rPr>
      </w:pPr>
      <w:r w:rsidRPr="004A498C">
        <w:rPr>
          <w:rFonts w:ascii="Book Antiqua" w:eastAsia="Calibri" w:hAnsi="Book Antiqua" w:cs="Times New Roman"/>
          <w:b/>
          <w:sz w:val="24"/>
        </w:rPr>
        <w:t>Hayat boyu öğrenmeye katılım ile ilgili 2018 yılı içerisinde gerçekleştirilen faaliyetler</w:t>
      </w:r>
    </w:p>
    <w:tbl>
      <w:tblPr>
        <w:tblStyle w:val="TabloKlavuzu1"/>
        <w:tblW w:w="9640" w:type="dxa"/>
        <w:tblInd w:w="-176" w:type="dxa"/>
        <w:tblLook w:val="04A0" w:firstRow="1" w:lastRow="0" w:firstColumn="1" w:lastColumn="0" w:noHBand="0" w:noVBand="1"/>
      </w:tblPr>
      <w:tblGrid>
        <w:gridCol w:w="494"/>
        <w:gridCol w:w="1932"/>
        <w:gridCol w:w="5796"/>
        <w:gridCol w:w="1418"/>
      </w:tblGrid>
      <w:tr w:rsidR="00277B54" w:rsidRPr="00277B54" w:rsidTr="00DE2E11">
        <w:trPr>
          <w:trHeight w:val="350"/>
        </w:trPr>
        <w:tc>
          <w:tcPr>
            <w:tcW w:w="481" w:type="dxa"/>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No</w:t>
            </w:r>
          </w:p>
        </w:tc>
        <w:tc>
          <w:tcPr>
            <w:tcW w:w="0" w:type="auto"/>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Faaliyet veya Proje Adı</w:t>
            </w:r>
          </w:p>
        </w:tc>
        <w:tc>
          <w:tcPr>
            <w:tcW w:w="5796" w:type="dxa"/>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Faaliyet veya Proje Kapsamında Gerçekleştirilenler</w:t>
            </w:r>
          </w:p>
        </w:tc>
        <w:tc>
          <w:tcPr>
            <w:tcW w:w="1418" w:type="dxa"/>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Durum</w:t>
            </w:r>
          </w:p>
        </w:tc>
      </w:tr>
      <w:tr w:rsidR="00277B54" w:rsidRPr="00277B54" w:rsidTr="00DE2E11">
        <w:trPr>
          <w:trHeight w:val="350"/>
        </w:trPr>
        <w:tc>
          <w:tcPr>
            <w:tcW w:w="481" w:type="dxa"/>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1</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Diploma törenleri</w:t>
            </w:r>
          </w:p>
        </w:tc>
        <w:tc>
          <w:tcPr>
            <w:tcW w:w="5796" w:type="dxa"/>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Açık Öğretim Okullarından mezun olan vatandaşlara yönelik Tokat, Kahramanmaraş, İzmir, Malatya ve İstanbul illerinde toplam 5 adet diploma töreni düzenlenmiştir.</w:t>
            </w:r>
          </w:p>
        </w:tc>
        <w:tc>
          <w:tcPr>
            <w:tcW w:w="1418" w:type="dxa"/>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Tamamlandı</w:t>
            </w:r>
          </w:p>
        </w:tc>
      </w:tr>
      <w:tr w:rsidR="00277B54" w:rsidRPr="00277B54" w:rsidTr="00DE2E11">
        <w:trPr>
          <w:trHeight w:val="350"/>
        </w:trPr>
        <w:tc>
          <w:tcPr>
            <w:tcW w:w="481" w:type="dxa"/>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t>2</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 xml:space="preserve">Açık Öğretim Okullarında uzaktan öğrenme </w:t>
            </w:r>
            <w:r w:rsidRPr="00277B54">
              <w:rPr>
                <w:rFonts w:ascii="Book Antiqua" w:eastAsia="Calibri" w:hAnsi="Book Antiqua" w:cs="Times New Roman"/>
                <w:sz w:val="20"/>
              </w:rPr>
              <w:lastRenderedPageBreak/>
              <w:t>platformu ile ilgili çalışmalar</w:t>
            </w:r>
          </w:p>
        </w:tc>
        <w:tc>
          <w:tcPr>
            <w:tcW w:w="5796" w:type="dxa"/>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lastRenderedPageBreak/>
              <w:t>Açık Öğretim Daire Başkanlığı, Açık Öğretim Okullarında uzaktan öğrenme platformu ile ilgili olarak Üniversiteler ile çalışmalara devam etmiştir.</w:t>
            </w:r>
          </w:p>
        </w:tc>
        <w:tc>
          <w:tcPr>
            <w:tcW w:w="1418" w:type="dxa"/>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Devam ediyor</w:t>
            </w:r>
          </w:p>
        </w:tc>
      </w:tr>
      <w:tr w:rsidR="00277B54" w:rsidRPr="00277B54" w:rsidTr="00DE2E11">
        <w:trPr>
          <w:trHeight w:val="350"/>
        </w:trPr>
        <w:tc>
          <w:tcPr>
            <w:tcW w:w="481" w:type="dxa"/>
            <w:vAlign w:val="center"/>
          </w:tcPr>
          <w:p w:rsidR="00277B54" w:rsidRPr="00277B54" w:rsidRDefault="00277B54" w:rsidP="00277B54">
            <w:pPr>
              <w:rPr>
                <w:rFonts w:ascii="Book Antiqua" w:eastAsia="Calibri" w:hAnsi="Book Antiqua" w:cs="Times New Roman"/>
                <w:b/>
                <w:sz w:val="20"/>
              </w:rPr>
            </w:pPr>
            <w:r w:rsidRPr="00277B54">
              <w:rPr>
                <w:rFonts w:ascii="Book Antiqua" w:eastAsia="Calibri" w:hAnsi="Book Antiqua" w:cs="Times New Roman"/>
                <w:b/>
                <w:sz w:val="20"/>
              </w:rPr>
              <w:lastRenderedPageBreak/>
              <w:t>3</w:t>
            </w:r>
          </w:p>
        </w:tc>
        <w:tc>
          <w:tcPr>
            <w:tcW w:w="0" w:type="auto"/>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Yetişkin Eğitiminde İyi Örnekler Uluslararası Konferansı</w:t>
            </w:r>
          </w:p>
        </w:tc>
        <w:tc>
          <w:tcPr>
            <w:tcW w:w="5796" w:type="dxa"/>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Avrupa Yetişkin Öğrenme Gündemi İçin Ulusal Koordinatörler Projesi kapsamında Yetişkin Eğitiminde İyi Örnekler Uluslararası Konferansı 3-4 Ekim 2017 tarihlerinde yetişkin eğitiminden sorumlu öğretmen ve idareciler, kursiyerler, kadın çalışmalarından ve yetişkin eğitiminden sorumlu yerel yönetim ve sivil toplum kuruluşları temsilcilerinin katılımı ile İstanbul’da gerçekleştirilmiştir.</w:t>
            </w:r>
          </w:p>
        </w:tc>
        <w:tc>
          <w:tcPr>
            <w:tcW w:w="1418" w:type="dxa"/>
          </w:tcPr>
          <w:p w:rsidR="00277B54" w:rsidRPr="00277B54" w:rsidRDefault="00277B54" w:rsidP="00277B54">
            <w:pPr>
              <w:rPr>
                <w:rFonts w:ascii="Book Antiqua" w:eastAsia="Calibri" w:hAnsi="Book Antiqua" w:cs="Times New Roman"/>
                <w:sz w:val="20"/>
              </w:rPr>
            </w:pPr>
            <w:r w:rsidRPr="00277B54">
              <w:rPr>
                <w:rFonts w:ascii="Book Antiqua" w:eastAsia="Calibri" w:hAnsi="Book Antiqua" w:cs="Times New Roman"/>
                <w:sz w:val="20"/>
              </w:rPr>
              <w:t>Tamamlandı</w:t>
            </w:r>
          </w:p>
        </w:tc>
      </w:tr>
    </w:tbl>
    <w:p w:rsidR="00302F9C" w:rsidRDefault="000D10DD" w:rsidP="00492444">
      <w:pPr>
        <w:spacing w:before="240" w:line="360" w:lineRule="auto"/>
        <w:ind w:firstLine="708"/>
        <w:jc w:val="both"/>
        <w:rPr>
          <w:rFonts w:ascii="Book Antiqua" w:hAnsi="Book Antiqua" w:cs="Times New Roman"/>
          <w:sz w:val="24"/>
        </w:rPr>
      </w:pPr>
      <w:r>
        <w:rPr>
          <w:rFonts w:ascii="Book Antiqua" w:hAnsi="Book Antiqua" w:cs="Times New Roman"/>
          <w:sz w:val="24"/>
        </w:rPr>
        <w:t>G</w:t>
      </w:r>
      <w:r w:rsidR="00872F80" w:rsidRPr="00492444">
        <w:rPr>
          <w:rFonts w:ascii="Book Antiqua" w:hAnsi="Book Antiqua" w:cs="Times New Roman"/>
          <w:sz w:val="24"/>
        </w:rPr>
        <w:t xml:space="preserve">erçekleştirilen proje ve faaliyetler </w:t>
      </w:r>
      <w:r w:rsidR="008C39E9">
        <w:rPr>
          <w:rFonts w:ascii="Book Antiqua" w:hAnsi="Book Antiqua" w:cs="Times New Roman"/>
          <w:sz w:val="24"/>
        </w:rPr>
        <w:t>tablolardakine benzer üslupla</w:t>
      </w:r>
      <w:r w:rsidR="00872F80" w:rsidRPr="00492444">
        <w:rPr>
          <w:rFonts w:ascii="Book Antiqua" w:hAnsi="Book Antiqua" w:cs="Times New Roman"/>
          <w:sz w:val="24"/>
        </w:rPr>
        <w:t xml:space="preserve"> kısa ve anlaşılır biçimde açıklanacaktır. Faaliyet değerlendirme kısmını faaliyetin ilgili yıldaki durumuna göre “tamamlandı”, “devam ediyor” ifadelerinden uygun biri ile doldurulacaktır. </w:t>
      </w:r>
      <w:r w:rsidR="00DB6678" w:rsidRPr="00492444">
        <w:rPr>
          <w:rFonts w:ascii="Book Antiqua" w:hAnsi="Book Antiqua" w:cs="Times New Roman"/>
          <w:sz w:val="24"/>
        </w:rPr>
        <w:t>Faaliyetler sayısal verilerle ve yer bilgisiyle birlikte açıklanacaktır. Örneğin</w:t>
      </w:r>
      <w:r>
        <w:rPr>
          <w:rFonts w:ascii="Book Antiqua" w:hAnsi="Book Antiqua" w:cs="Times New Roman"/>
          <w:sz w:val="24"/>
        </w:rPr>
        <w:t>,</w:t>
      </w:r>
      <w:r w:rsidR="00DB6678" w:rsidRPr="00492444">
        <w:rPr>
          <w:rFonts w:ascii="Book Antiqua" w:hAnsi="Book Antiqua" w:cs="Times New Roman"/>
          <w:sz w:val="24"/>
        </w:rPr>
        <w:t xml:space="preserve"> gerçekleşen bir tanıtım faaliyetinin nerede (hangi ilçelerde) ve kaç kişinin katılımıyla yapıldığını (</w:t>
      </w:r>
      <w:r w:rsidR="00A434A3">
        <w:rPr>
          <w:rFonts w:ascii="Book Antiqua" w:hAnsi="Book Antiqua" w:cs="Times New Roman"/>
          <w:sz w:val="24"/>
        </w:rPr>
        <w:t>ö</w:t>
      </w:r>
      <w:r w:rsidR="00DB6678" w:rsidRPr="00492444">
        <w:rPr>
          <w:rFonts w:ascii="Book Antiqua" w:hAnsi="Book Antiqua" w:cs="Times New Roman"/>
          <w:sz w:val="24"/>
        </w:rPr>
        <w:t>ğretmen, öğrenci, yönetici, veli gibi) belirtilmesi gerekmektedir.</w:t>
      </w:r>
      <w:r w:rsidR="00872F80" w:rsidRPr="00492444">
        <w:rPr>
          <w:rFonts w:ascii="Book Antiqua" w:hAnsi="Book Antiqua" w:cs="Times New Roman"/>
          <w:sz w:val="24"/>
        </w:rPr>
        <w:t xml:space="preserve"> </w:t>
      </w:r>
      <w:r w:rsidR="00DB6678" w:rsidRPr="00492444">
        <w:rPr>
          <w:rFonts w:ascii="Book Antiqua" w:hAnsi="Book Antiqua" w:cs="Times New Roman"/>
          <w:sz w:val="24"/>
        </w:rPr>
        <w:t>Aynı y</w:t>
      </w:r>
      <w:r w:rsidR="00302F9C" w:rsidRPr="00492444">
        <w:rPr>
          <w:rFonts w:ascii="Book Antiqua" w:hAnsi="Book Antiqua" w:cs="Times New Roman"/>
          <w:sz w:val="24"/>
        </w:rPr>
        <w:t xml:space="preserve">ıl içerisinde </w:t>
      </w:r>
      <w:r w:rsidR="00DB6678" w:rsidRPr="00492444">
        <w:rPr>
          <w:rFonts w:ascii="Book Antiqua" w:hAnsi="Book Antiqua" w:cs="Times New Roman"/>
          <w:sz w:val="24"/>
        </w:rPr>
        <w:t xml:space="preserve">bir </w:t>
      </w:r>
      <w:r w:rsidR="00302F9C" w:rsidRPr="00492444">
        <w:rPr>
          <w:rFonts w:ascii="Book Antiqua" w:hAnsi="Book Antiqua" w:cs="Times New Roman"/>
          <w:sz w:val="24"/>
        </w:rPr>
        <w:t xml:space="preserve">stratejiye </w:t>
      </w:r>
      <w:r w:rsidR="00DB6678" w:rsidRPr="00492444">
        <w:rPr>
          <w:rFonts w:ascii="Book Antiqua" w:hAnsi="Book Antiqua" w:cs="Times New Roman"/>
          <w:sz w:val="24"/>
        </w:rPr>
        <w:t xml:space="preserve">birden </w:t>
      </w:r>
      <w:r w:rsidR="00302F9C" w:rsidRPr="00492444">
        <w:rPr>
          <w:rFonts w:ascii="Book Antiqua" w:hAnsi="Book Antiqua" w:cs="Times New Roman"/>
          <w:sz w:val="24"/>
        </w:rPr>
        <w:t>fazla faaliyet tanımlanabilir</w:t>
      </w:r>
      <w:r w:rsidR="00DB6678" w:rsidRPr="00492444">
        <w:rPr>
          <w:rFonts w:ascii="Book Antiqua" w:hAnsi="Book Antiqua" w:cs="Times New Roman"/>
          <w:sz w:val="24"/>
        </w:rPr>
        <w:t>.</w:t>
      </w:r>
    </w:p>
    <w:p w:rsidR="00A434A3" w:rsidRPr="00A434A3" w:rsidRDefault="00A434A3" w:rsidP="00A434A3">
      <w:pPr>
        <w:pStyle w:val="ListeParagraf"/>
        <w:numPr>
          <w:ilvl w:val="0"/>
          <w:numId w:val="1"/>
        </w:numPr>
        <w:rPr>
          <w:rFonts w:ascii="Book Antiqua" w:hAnsi="Book Antiqua" w:cs="Times New Roman"/>
          <w:b/>
          <w:sz w:val="24"/>
        </w:rPr>
      </w:pPr>
      <w:r w:rsidRPr="00A434A3">
        <w:rPr>
          <w:rFonts w:ascii="Book Antiqua" w:hAnsi="Book Antiqua" w:cs="Times New Roman"/>
          <w:b/>
          <w:sz w:val="24"/>
        </w:rPr>
        <w:t>Performans göstergesi gerçekleşme durumlarının değerlendirilmesi</w:t>
      </w:r>
    </w:p>
    <w:p w:rsidR="00A434A3" w:rsidRPr="00A434A3" w:rsidRDefault="00A434A3" w:rsidP="00A434A3">
      <w:pPr>
        <w:spacing w:line="360" w:lineRule="auto"/>
        <w:ind w:firstLine="708"/>
        <w:jc w:val="both"/>
        <w:rPr>
          <w:rFonts w:ascii="Book Antiqua" w:hAnsi="Book Antiqua" w:cs="Times New Roman"/>
          <w:sz w:val="24"/>
        </w:rPr>
      </w:pPr>
      <w:r w:rsidRPr="00A434A3">
        <w:rPr>
          <w:rFonts w:ascii="Book Antiqua" w:hAnsi="Book Antiqua" w:cs="Times New Roman"/>
          <w:sz w:val="24"/>
        </w:rPr>
        <w:t>Faaliyetlere ilişkin veri girişleri tamamlandıktan sonra EK-2 raporunun sonundaki değerlendirme bölümünde yer alan “Faaliyet Gerçekleşme Bulguları” tablosuna her bir faaliyet alanında gerçekleştirilmiş faaliyet sayıları işlenecektir. Faaliyet sayıları gerçekleştirilen faaliyet tabloları dikkate alınarak girilecektir. Ardından toplam faaliyet sayısı hesaplanacaktır. Son olarak ise “Toplam Faaliyet Sayısı İçindeki Oranı” sütunu doldurulacaktır.</w:t>
      </w:r>
      <w:r w:rsidRPr="00A434A3">
        <w:t xml:space="preserve"> </w:t>
      </w:r>
      <w:r w:rsidRPr="00A434A3">
        <w:rPr>
          <w:rFonts w:ascii="Book Antiqua" w:hAnsi="Book Antiqua" w:cs="Times New Roman"/>
          <w:sz w:val="24"/>
        </w:rPr>
        <w:t>Toplam faaliyet sayısı içindeki oranı ilgili faaliyet sayısı toplam faaliyet sayısına bölündükten sonra 100 ile çarpılarak hesaplanacaktır.</w:t>
      </w:r>
    </w:p>
    <w:p w:rsidR="00E422B9" w:rsidRPr="00E422B9" w:rsidRDefault="00E422B9" w:rsidP="00E422B9">
      <w:pPr>
        <w:pStyle w:val="ListeParagraf"/>
        <w:numPr>
          <w:ilvl w:val="0"/>
          <w:numId w:val="1"/>
        </w:numPr>
        <w:spacing w:before="240" w:line="360" w:lineRule="auto"/>
        <w:jc w:val="both"/>
        <w:rPr>
          <w:rFonts w:ascii="Book Antiqua" w:hAnsi="Book Antiqua" w:cs="Times New Roman"/>
          <w:b/>
          <w:sz w:val="24"/>
        </w:rPr>
      </w:pPr>
      <w:r w:rsidRPr="00E422B9">
        <w:rPr>
          <w:rFonts w:ascii="Book Antiqua" w:hAnsi="Book Antiqua" w:cs="Times New Roman"/>
          <w:b/>
          <w:sz w:val="24"/>
        </w:rPr>
        <w:t>Sonuç, Değerlendirme ve 2019-2023 Dönemi İçin Düzenlemeler</w:t>
      </w:r>
    </w:p>
    <w:p w:rsidR="00A434A3" w:rsidRDefault="00E422B9" w:rsidP="00E422B9">
      <w:pPr>
        <w:spacing w:before="240" w:line="360" w:lineRule="auto"/>
        <w:ind w:firstLine="708"/>
        <w:jc w:val="both"/>
        <w:rPr>
          <w:rFonts w:ascii="Book Antiqua" w:hAnsi="Book Antiqua" w:cs="Times New Roman"/>
          <w:sz w:val="24"/>
        </w:rPr>
      </w:pPr>
      <w:r>
        <w:rPr>
          <w:rFonts w:ascii="Book Antiqua" w:hAnsi="Book Antiqua" w:cs="Times New Roman"/>
          <w:sz w:val="24"/>
        </w:rPr>
        <w:t>G</w:t>
      </w:r>
      <w:r w:rsidRPr="00E422B9">
        <w:rPr>
          <w:rFonts w:ascii="Book Antiqua" w:hAnsi="Book Antiqua" w:cs="Times New Roman"/>
          <w:sz w:val="24"/>
        </w:rPr>
        <w:t>erçekleşme durumlarına göre gruplandırılan performans göstergeleri ve Bakanlık faaliyet sayılarının alanlara göre dağılımı ve faaliyetlerin niteliği ile çıktıları birlikte değerlendiril</w:t>
      </w:r>
      <w:r>
        <w:rPr>
          <w:rFonts w:ascii="Book Antiqua" w:hAnsi="Book Antiqua" w:cs="Times New Roman"/>
          <w:sz w:val="24"/>
        </w:rPr>
        <w:t>melidir. “</w:t>
      </w:r>
      <w:r w:rsidRPr="00E422B9">
        <w:rPr>
          <w:rFonts w:ascii="Book Antiqua" w:hAnsi="Book Antiqua" w:cs="Times New Roman"/>
          <w:sz w:val="24"/>
        </w:rPr>
        <w:t>Hedeflere ulaşılan veya önemli oranda iyileşme sağlanan alanlar</w:t>
      </w:r>
      <w:r>
        <w:rPr>
          <w:rFonts w:ascii="Book Antiqua" w:hAnsi="Book Antiqua" w:cs="Times New Roman"/>
          <w:sz w:val="24"/>
        </w:rPr>
        <w:t>” ve “</w:t>
      </w:r>
      <w:r w:rsidRPr="00E422B9">
        <w:rPr>
          <w:rFonts w:ascii="Book Antiqua" w:hAnsi="Book Antiqua" w:cs="Times New Roman"/>
          <w:sz w:val="24"/>
        </w:rPr>
        <w:t>Hedeflere ulaşılamayan ve önemli oranda iyileşmeye açık alan</w:t>
      </w:r>
      <w:r>
        <w:rPr>
          <w:rFonts w:ascii="Book Antiqua" w:hAnsi="Book Antiqua" w:cs="Times New Roman"/>
          <w:sz w:val="24"/>
        </w:rPr>
        <w:t>lar”</w:t>
      </w:r>
      <w:r w:rsidR="00E25AB1">
        <w:rPr>
          <w:rFonts w:ascii="Book Antiqua" w:hAnsi="Book Antiqua" w:cs="Times New Roman"/>
          <w:sz w:val="24"/>
        </w:rPr>
        <w:t xml:space="preserve"> tabloya işlenmelidir. Tablo doldurulduktan sonra yorumlanmalı ve özellikle iyileşmeye açık alanlar </w:t>
      </w:r>
      <w:r w:rsidR="00BE3AC9">
        <w:rPr>
          <w:rFonts w:ascii="Book Antiqua" w:hAnsi="Book Antiqua" w:cs="Times New Roman"/>
          <w:sz w:val="24"/>
        </w:rPr>
        <w:t xml:space="preserve">için </w:t>
      </w:r>
      <w:r w:rsidR="00BE3AC9" w:rsidRPr="00E25AB1">
        <w:rPr>
          <w:rFonts w:ascii="Book Antiqua" w:hAnsi="Book Antiqua" w:cs="Times New Roman"/>
          <w:sz w:val="24"/>
        </w:rPr>
        <w:t>2019</w:t>
      </w:r>
      <w:r w:rsidR="00E25AB1" w:rsidRPr="00E25AB1">
        <w:rPr>
          <w:rFonts w:ascii="Book Antiqua" w:hAnsi="Book Antiqua" w:cs="Times New Roman"/>
          <w:sz w:val="24"/>
        </w:rPr>
        <w:t>-2023 dönemi için</w:t>
      </w:r>
      <w:r w:rsidR="00E25AB1">
        <w:rPr>
          <w:rFonts w:ascii="Book Antiqua" w:hAnsi="Book Antiqua" w:cs="Times New Roman"/>
          <w:sz w:val="24"/>
        </w:rPr>
        <w:t xml:space="preserve"> öngörülen faaliyet, proje ve uygulamalar </w:t>
      </w:r>
      <w:r w:rsidR="00BE3AC9">
        <w:rPr>
          <w:rFonts w:ascii="Book Antiqua" w:hAnsi="Book Antiqua" w:cs="Times New Roman"/>
          <w:sz w:val="24"/>
        </w:rPr>
        <w:t>açıklanmalıdır.</w:t>
      </w:r>
    </w:p>
    <w:p w:rsidR="00BE3AC9" w:rsidRDefault="00A73605" w:rsidP="00BE3AC9">
      <w:pPr>
        <w:pStyle w:val="ListeParagraf"/>
        <w:numPr>
          <w:ilvl w:val="0"/>
          <w:numId w:val="1"/>
        </w:numPr>
        <w:spacing w:before="240" w:line="360" w:lineRule="auto"/>
        <w:jc w:val="both"/>
        <w:rPr>
          <w:rFonts w:ascii="Book Antiqua" w:hAnsi="Book Antiqua" w:cs="Times New Roman"/>
          <w:sz w:val="24"/>
        </w:rPr>
      </w:pPr>
      <w:r>
        <w:rPr>
          <w:rFonts w:ascii="Book Antiqua" w:hAnsi="Book Antiqua" w:cs="Times New Roman"/>
          <w:sz w:val="24"/>
        </w:rPr>
        <w:lastRenderedPageBreak/>
        <w:t>EK-2 biçimsel açıdan muhafaza edilerek doldurulmalıdır. Tablo, yazım, noktalama, kapak gibi biçimsel unsurlarda değişiklik yapılmamalıdır.</w:t>
      </w:r>
    </w:p>
    <w:p w:rsidR="00A73605" w:rsidRPr="00A73605" w:rsidRDefault="00A73605" w:rsidP="00A73605">
      <w:pPr>
        <w:spacing w:before="240" w:line="360" w:lineRule="auto"/>
        <w:jc w:val="both"/>
        <w:rPr>
          <w:rFonts w:ascii="Book Antiqua" w:hAnsi="Book Antiqua" w:cs="Times New Roman"/>
          <w:b/>
          <w:sz w:val="24"/>
        </w:rPr>
      </w:pPr>
      <w:r w:rsidRPr="00A73605">
        <w:rPr>
          <w:rFonts w:ascii="Book Antiqua" w:hAnsi="Book Antiqua" w:cs="Times New Roman"/>
          <w:b/>
          <w:sz w:val="24"/>
        </w:rPr>
        <w:t>Katkılarınız ve işbirliğinizi için teşekkür eder, kolaylıklar dileriz.</w:t>
      </w:r>
    </w:p>
    <w:p w:rsidR="001950FB" w:rsidRPr="008D0D2F" w:rsidRDefault="001950FB" w:rsidP="00302F9C">
      <w:pPr>
        <w:pStyle w:val="ListeParagraf"/>
        <w:spacing w:before="240" w:line="360" w:lineRule="auto"/>
        <w:ind w:left="360"/>
        <w:jc w:val="both"/>
        <w:rPr>
          <w:rFonts w:ascii="Book Antiqua" w:hAnsi="Book Antiqua" w:cs="Times New Roman"/>
          <w:sz w:val="24"/>
        </w:rPr>
      </w:pPr>
    </w:p>
    <w:p w:rsidR="001950FB" w:rsidRPr="008D0D2F" w:rsidRDefault="001950FB" w:rsidP="00302F9C">
      <w:pPr>
        <w:pStyle w:val="ListeParagraf"/>
        <w:spacing w:before="240" w:line="360" w:lineRule="auto"/>
        <w:ind w:left="360"/>
        <w:jc w:val="both"/>
        <w:rPr>
          <w:rFonts w:ascii="Book Antiqua" w:hAnsi="Book Antiqua" w:cs="Times New Roman"/>
          <w:sz w:val="24"/>
        </w:rPr>
      </w:pPr>
    </w:p>
    <w:p w:rsidR="001950FB" w:rsidRPr="008D0D2F" w:rsidRDefault="001950FB" w:rsidP="00302F9C">
      <w:pPr>
        <w:pStyle w:val="ListeParagraf"/>
        <w:spacing w:before="240" w:line="360" w:lineRule="auto"/>
        <w:ind w:left="360"/>
        <w:jc w:val="both"/>
        <w:rPr>
          <w:rFonts w:ascii="Book Antiqua" w:hAnsi="Book Antiqua" w:cs="Times New Roman"/>
          <w:sz w:val="24"/>
        </w:rPr>
      </w:pPr>
    </w:p>
    <w:sectPr w:rsidR="001950FB" w:rsidRPr="008D0D2F" w:rsidSect="00064EA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12" w:rsidRDefault="00203C12" w:rsidP="006B6AD2">
      <w:pPr>
        <w:spacing w:after="0" w:line="240" w:lineRule="auto"/>
      </w:pPr>
      <w:r>
        <w:separator/>
      </w:r>
    </w:p>
  </w:endnote>
  <w:endnote w:type="continuationSeparator" w:id="0">
    <w:p w:rsidR="00203C12" w:rsidRDefault="00203C12" w:rsidP="006B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91876"/>
      <w:docPartObj>
        <w:docPartGallery w:val="Page Numbers (Bottom of Page)"/>
        <w:docPartUnique/>
      </w:docPartObj>
    </w:sdtPr>
    <w:sdtEndPr>
      <w:rPr>
        <w:rFonts w:ascii="Book Antiqua" w:hAnsi="Book Antiqua"/>
        <w:sz w:val="24"/>
      </w:rPr>
    </w:sdtEndPr>
    <w:sdtContent>
      <w:p w:rsidR="00064EA8" w:rsidRPr="00064EA8" w:rsidRDefault="00064EA8">
        <w:pPr>
          <w:pStyle w:val="Altbilgi"/>
          <w:jc w:val="center"/>
          <w:rPr>
            <w:rFonts w:ascii="Book Antiqua" w:hAnsi="Book Antiqua"/>
            <w:sz w:val="24"/>
          </w:rPr>
        </w:pPr>
        <w:r w:rsidRPr="00064EA8">
          <w:rPr>
            <w:rFonts w:ascii="Book Antiqua" w:hAnsi="Book Antiqua"/>
            <w:sz w:val="24"/>
          </w:rPr>
          <w:fldChar w:fldCharType="begin"/>
        </w:r>
        <w:r w:rsidRPr="00064EA8">
          <w:rPr>
            <w:rFonts w:ascii="Book Antiqua" w:hAnsi="Book Antiqua"/>
            <w:sz w:val="24"/>
          </w:rPr>
          <w:instrText>PAGE   \* MERGEFORMAT</w:instrText>
        </w:r>
        <w:r w:rsidRPr="00064EA8">
          <w:rPr>
            <w:rFonts w:ascii="Book Antiqua" w:hAnsi="Book Antiqua"/>
            <w:sz w:val="24"/>
          </w:rPr>
          <w:fldChar w:fldCharType="separate"/>
        </w:r>
        <w:r w:rsidR="00C3403F">
          <w:rPr>
            <w:rFonts w:ascii="Book Antiqua" w:hAnsi="Book Antiqua"/>
            <w:noProof/>
            <w:sz w:val="24"/>
          </w:rPr>
          <w:t>i</w:t>
        </w:r>
        <w:r w:rsidRPr="00064EA8">
          <w:rPr>
            <w:rFonts w:ascii="Book Antiqua" w:hAnsi="Book Antiqua"/>
            <w:sz w:val="24"/>
          </w:rPr>
          <w:fldChar w:fldCharType="end"/>
        </w:r>
      </w:p>
    </w:sdtContent>
  </w:sdt>
  <w:p w:rsidR="00DA70C3" w:rsidRDefault="00DA70C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71340"/>
      <w:docPartObj>
        <w:docPartGallery w:val="Page Numbers (Bottom of Page)"/>
        <w:docPartUnique/>
      </w:docPartObj>
    </w:sdtPr>
    <w:sdtEndPr>
      <w:rPr>
        <w:rFonts w:ascii="Book Antiqua" w:hAnsi="Book Antiqua"/>
        <w:sz w:val="24"/>
      </w:rPr>
    </w:sdtEndPr>
    <w:sdtContent>
      <w:p w:rsidR="00374281" w:rsidRPr="00374281" w:rsidRDefault="00374281">
        <w:pPr>
          <w:pStyle w:val="Altbilgi"/>
          <w:jc w:val="center"/>
          <w:rPr>
            <w:rFonts w:ascii="Book Antiqua" w:hAnsi="Book Antiqua"/>
            <w:sz w:val="24"/>
          </w:rPr>
        </w:pPr>
        <w:r w:rsidRPr="00374281">
          <w:rPr>
            <w:rFonts w:ascii="Book Antiqua" w:hAnsi="Book Antiqua"/>
            <w:sz w:val="24"/>
          </w:rPr>
          <w:fldChar w:fldCharType="begin"/>
        </w:r>
        <w:r w:rsidRPr="00374281">
          <w:rPr>
            <w:rFonts w:ascii="Book Antiqua" w:hAnsi="Book Antiqua"/>
            <w:sz w:val="24"/>
          </w:rPr>
          <w:instrText>PAGE   \* MERGEFORMAT</w:instrText>
        </w:r>
        <w:r w:rsidRPr="00374281">
          <w:rPr>
            <w:rFonts w:ascii="Book Antiqua" w:hAnsi="Book Antiqua"/>
            <w:sz w:val="24"/>
          </w:rPr>
          <w:fldChar w:fldCharType="separate"/>
        </w:r>
        <w:r w:rsidR="00C3403F">
          <w:rPr>
            <w:rFonts w:ascii="Book Antiqua" w:hAnsi="Book Antiqua"/>
            <w:noProof/>
            <w:sz w:val="24"/>
          </w:rPr>
          <w:t xml:space="preserve"> </w:t>
        </w:r>
        <w:r w:rsidRPr="00374281">
          <w:rPr>
            <w:rFonts w:ascii="Book Antiqua" w:hAnsi="Book Antiqua"/>
            <w:sz w:val="24"/>
          </w:rPr>
          <w:fldChar w:fldCharType="end"/>
        </w:r>
      </w:p>
    </w:sdtContent>
  </w:sdt>
  <w:p w:rsidR="00374281" w:rsidRDefault="003742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12" w:rsidRDefault="00203C12" w:rsidP="006B6AD2">
      <w:pPr>
        <w:spacing w:after="0" w:line="240" w:lineRule="auto"/>
      </w:pPr>
      <w:r>
        <w:separator/>
      </w:r>
    </w:p>
  </w:footnote>
  <w:footnote w:type="continuationSeparator" w:id="0">
    <w:p w:rsidR="00203C12" w:rsidRDefault="00203C12" w:rsidP="006B6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3D70"/>
    <w:multiLevelType w:val="hybridMultilevel"/>
    <w:tmpl w:val="AF6A0A6C"/>
    <w:lvl w:ilvl="0" w:tplc="430470A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7D2714C2"/>
    <w:multiLevelType w:val="hybridMultilevel"/>
    <w:tmpl w:val="60AAEABE"/>
    <w:lvl w:ilvl="0" w:tplc="0C2EA1D8">
      <w:start w:val="1"/>
      <w:numFmt w:val="lowerLetter"/>
      <w:lvlText w:val="%1."/>
      <w:lvlJc w:val="left"/>
      <w:pPr>
        <w:ind w:left="1416" w:hanging="360"/>
      </w:pPr>
      <w:rPr>
        <w:rFonts w:hint="default"/>
        <w:b/>
      </w:r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5E"/>
    <w:rsid w:val="00000D79"/>
    <w:rsid w:val="0000156D"/>
    <w:rsid w:val="0000159E"/>
    <w:rsid w:val="000078BE"/>
    <w:rsid w:val="0001450B"/>
    <w:rsid w:val="0002053F"/>
    <w:rsid w:val="00020F8C"/>
    <w:rsid w:val="00027644"/>
    <w:rsid w:val="000314F2"/>
    <w:rsid w:val="00036627"/>
    <w:rsid w:val="00042819"/>
    <w:rsid w:val="000438F7"/>
    <w:rsid w:val="00044474"/>
    <w:rsid w:val="00047754"/>
    <w:rsid w:val="00054EEC"/>
    <w:rsid w:val="0006030E"/>
    <w:rsid w:val="00061612"/>
    <w:rsid w:val="00062B22"/>
    <w:rsid w:val="00062B83"/>
    <w:rsid w:val="0006391D"/>
    <w:rsid w:val="00064C8A"/>
    <w:rsid w:val="00064EA8"/>
    <w:rsid w:val="00065598"/>
    <w:rsid w:val="00066061"/>
    <w:rsid w:val="0006701C"/>
    <w:rsid w:val="00070CA7"/>
    <w:rsid w:val="00072118"/>
    <w:rsid w:val="000722CA"/>
    <w:rsid w:val="00074752"/>
    <w:rsid w:val="00075CE7"/>
    <w:rsid w:val="000777B7"/>
    <w:rsid w:val="000815A8"/>
    <w:rsid w:val="00082980"/>
    <w:rsid w:val="00084D9E"/>
    <w:rsid w:val="0008601C"/>
    <w:rsid w:val="00086BFE"/>
    <w:rsid w:val="00094D8D"/>
    <w:rsid w:val="00096756"/>
    <w:rsid w:val="000A143E"/>
    <w:rsid w:val="000A34AA"/>
    <w:rsid w:val="000A3BE5"/>
    <w:rsid w:val="000A6770"/>
    <w:rsid w:val="000B1B85"/>
    <w:rsid w:val="000B7E1E"/>
    <w:rsid w:val="000C0591"/>
    <w:rsid w:val="000C16DE"/>
    <w:rsid w:val="000C1DEC"/>
    <w:rsid w:val="000C200B"/>
    <w:rsid w:val="000C57C9"/>
    <w:rsid w:val="000C78C6"/>
    <w:rsid w:val="000D10DD"/>
    <w:rsid w:val="000E4655"/>
    <w:rsid w:val="000E62A0"/>
    <w:rsid w:val="000E6DB5"/>
    <w:rsid w:val="000F05F9"/>
    <w:rsid w:val="000F3BC7"/>
    <w:rsid w:val="00100C1A"/>
    <w:rsid w:val="00105279"/>
    <w:rsid w:val="001057E5"/>
    <w:rsid w:val="0010605A"/>
    <w:rsid w:val="00107807"/>
    <w:rsid w:val="00112721"/>
    <w:rsid w:val="00117268"/>
    <w:rsid w:val="0012080D"/>
    <w:rsid w:val="0012246F"/>
    <w:rsid w:val="00122529"/>
    <w:rsid w:val="00125A11"/>
    <w:rsid w:val="00125A69"/>
    <w:rsid w:val="00126BEE"/>
    <w:rsid w:val="00133E33"/>
    <w:rsid w:val="0013514A"/>
    <w:rsid w:val="00135733"/>
    <w:rsid w:val="00135E2A"/>
    <w:rsid w:val="001368FD"/>
    <w:rsid w:val="00137B0F"/>
    <w:rsid w:val="00137FE6"/>
    <w:rsid w:val="00145626"/>
    <w:rsid w:val="001463DD"/>
    <w:rsid w:val="001549BC"/>
    <w:rsid w:val="0015686D"/>
    <w:rsid w:val="001573CE"/>
    <w:rsid w:val="00157DEF"/>
    <w:rsid w:val="00161151"/>
    <w:rsid w:val="001618C3"/>
    <w:rsid w:val="00162F75"/>
    <w:rsid w:val="00175461"/>
    <w:rsid w:val="0017776A"/>
    <w:rsid w:val="00177F31"/>
    <w:rsid w:val="00180E74"/>
    <w:rsid w:val="00181C36"/>
    <w:rsid w:val="00192108"/>
    <w:rsid w:val="00192A99"/>
    <w:rsid w:val="00192DE2"/>
    <w:rsid w:val="001934F5"/>
    <w:rsid w:val="001950FB"/>
    <w:rsid w:val="0019512E"/>
    <w:rsid w:val="001979BA"/>
    <w:rsid w:val="001A5AA2"/>
    <w:rsid w:val="001A6ED5"/>
    <w:rsid w:val="001B12A6"/>
    <w:rsid w:val="001B5328"/>
    <w:rsid w:val="001B5E01"/>
    <w:rsid w:val="001C0742"/>
    <w:rsid w:val="001C1C46"/>
    <w:rsid w:val="001C33A6"/>
    <w:rsid w:val="001C5B8A"/>
    <w:rsid w:val="001C71D9"/>
    <w:rsid w:val="001C7E8F"/>
    <w:rsid w:val="001D0A80"/>
    <w:rsid w:val="001D2CD4"/>
    <w:rsid w:val="001D6255"/>
    <w:rsid w:val="001D688F"/>
    <w:rsid w:val="001D7CAC"/>
    <w:rsid w:val="001E1C18"/>
    <w:rsid w:val="001E1C45"/>
    <w:rsid w:val="001E1CB3"/>
    <w:rsid w:val="001F04F9"/>
    <w:rsid w:val="001F1447"/>
    <w:rsid w:val="001F164C"/>
    <w:rsid w:val="001F17AF"/>
    <w:rsid w:val="001F2E6E"/>
    <w:rsid w:val="001F32A0"/>
    <w:rsid w:val="001F5B1E"/>
    <w:rsid w:val="001F650F"/>
    <w:rsid w:val="001F7EE9"/>
    <w:rsid w:val="002009F6"/>
    <w:rsid w:val="00203083"/>
    <w:rsid w:val="00203C12"/>
    <w:rsid w:val="002105C1"/>
    <w:rsid w:val="002106D3"/>
    <w:rsid w:val="002140C4"/>
    <w:rsid w:val="00215979"/>
    <w:rsid w:val="00217363"/>
    <w:rsid w:val="00222A8D"/>
    <w:rsid w:val="00223DED"/>
    <w:rsid w:val="00223E5E"/>
    <w:rsid w:val="002276B2"/>
    <w:rsid w:val="00227C08"/>
    <w:rsid w:val="00231830"/>
    <w:rsid w:val="00231D41"/>
    <w:rsid w:val="00232C22"/>
    <w:rsid w:val="00236AFB"/>
    <w:rsid w:val="00237943"/>
    <w:rsid w:val="00240333"/>
    <w:rsid w:val="002417A3"/>
    <w:rsid w:val="00241CE6"/>
    <w:rsid w:val="0024322A"/>
    <w:rsid w:val="00243EEA"/>
    <w:rsid w:val="00247C62"/>
    <w:rsid w:val="002504DD"/>
    <w:rsid w:val="00252361"/>
    <w:rsid w:val="00252E9F"/>
    <w:rsid w:val="00255473"/>
    <w:rsid w:val="002561C2"/>
    <w:rsid w:val="00260011"/>
    <w:rsid w:val="0026370D"/>
    <w:rsid w:val="0026491A"/>
    <w:rsid w:val="0026528B"/>
    <w:rsid w:val="002666CD"/>
    <w:rsid w:val="00267D80"/>
    <w:rsid w:val="002726FA"/>
    <w:rsid w:val="00275A48"/>
    <w:rsid w:val="0027790E"/>
    <w:rsid w:val="00277B54"/>
    <w:rsid w:val="002802A1"/>
    <w:rsid w:val="0028166A"/>
    <w:rsid w:val="00285C6B"/>
    <w:rsid w:val="002918F2"/>
    <w:rsid w:val="00291D4C"/>
    <w:rsid w:val="00291DE1"/>
    <w:rsid w:val="00294355"/>
    <w:rsid w:val="00296527"/>
    <w:rsid w:val="00296815"/>
    <w:rsid w:val="002969CB"/>
    <w:rsid w:val="00296AFD"/>
    <w:rsid w:val="00296FBA"/>
    <w:rsid w:val="0029792E"/>
    <w:rsid w:val="002A0DA3"/>
    <w:rsid w:val="002A2AD4"/>
    <w:rsid w:val="002A3C3A"/>
    <w:rsid w:val="002A44C6"/>
    <w:rsid w:val="002A5E3D"/>
    <w:rsid w:val="002B20E2"/>
    <w:rsid w:val="002B3210"/>
    <w:rsid w:val="002C0ACC"/>
    <w:rsid w:val="002C4CA5"/>
    <w:rsid w:val="002D3A8A"/>
    <w:rsid w:val="002D70B4"/>
    <w:rsid w:val="002D7BED"/>
    <w:rsid w:val="002D7DAF"/>
    <w:rsid w:val="002E01D7"/>
    <w:rsid w:val="002E1145"/>
    <w:rsid w:val="002E1686"/>
    <w:rsid w:val="002E2C96"/>
    <w:rsid w:val="002E30F4"/>
    <w:rsid w:val="002E49F7"/>
    <w:rsid w:val="002E73EE"/>
    <w:rsid w:val="002E79EA"/>
    <w:rsid w:val="002E7DAB"/>
    <w:rsid w:val="002F5AB2"/>
    <w:rsid w:val="002F612F"/>
    <w:rsid w:val="002F6969"/>
    <w:rsid w:val="00302F9C"/>
    <w:rsid w:val="00304321"/>
    <w:rsid w:val="003044D5"/>
    <w:rsid w:val="00304DA1"/>
    <w:rsid w:val="003067D0"/>
    <w:rsid w:val="0030731C"/>
    <w:rsid w:val="003101B1"/>
    <w:rsid w:val="00310269"/>
    <w:rsid w:val="003113C3"/>
    <w:rsid w:val="00315C47"/>
    <w:rsid w:val="0031778B"/>
    <w:rsid w:val="00320B74"/>
    <w:rsid w:val="003224DE"/>
    <w:rsid w:val="0032610E"/>
    <w:rsid w:val="0032763C"/>
    <w:rsid w:val="0033053E"/>
    <w:rsid w:val="00335771"/>
    <w:rsid w:val="00340ABD"/>
    <w:rsid w:val="00340D76"/>
    <w:rsid w:val="003415EA"/>
    <w:rsid w:val="003447A9"/>
    <w:rsid w:val="00346244"/>
    <w:rsid w:val="00353BEF"/>
    <w:rsid w:val="00354EBF"/>
    <w:rsid w:val="003553E2"/>
    <w:rsid w:val="00356109"/>
    <w:rsid w:val="00362BB7"/>
    <w:rsid w:val="00371EE2"/>
    <w:rsid w:val="00373802"/>
    <w:rsid w:val="00374281"/>
    <w:rsid w:val="00375DC3"/>
    <w:rsid w:val="003769BE"/>
    <w:rsid w:val="00381AFA"/>
    <w:rsid w:val="00386A8C"/>
    <w:rsid w:val="00391472"/>
    <w:rsid w:val="00391E45"/>
    <w:rsid w:val="003933AA"/>
    <w:rsid w:val="003A1AFF"/>
    <w:rsid w:val="003A3AEE"/>
    <w:rsid w:val="003A533D"/>
    <w:rsid w:val="003A56A8"/>
    <w:rsid w:val="003A5843"/>
    <w:rsid w:val="003A716C"/>
    <w:rsid w:val="003B1D66"/>
    <w:rsid w:val="003B3C57"/>
    <w:rsid w:val="003B4B6E"/>
    <w:rsid w:val="003B4F0A"/>
    <w:rsid w:val="003C16A2"/>
    <w:rsid w:val="003C5793"/>
    <w:rsid w:val="003C6BE0"/>
    <w:rsid w:val="003C7178"/>
    <w:rsid w:val="003E206A"/>
    <w:rsid w:val="003E4049"/>
    <w:rsid w:val="003E47FB"/>
    <w:rsid w:val="003E5425"/>
    <w:rsid w:val="003E5B67"/>
    <w:rsid w:val="003E6517"/>
    <w:rsid w:val="003F020A"/>
    <w:rsid w:val="003F3150"/>
    <w:rsid w:val="003F364B"/>
    <w:rsid w:val="003F5DCC"/>
    <w:rsid w:val="003F6B3E"/>
    <w:rsid w:val="003F6F99"/>
    <w:rsid w:val="003F6FF4"/>
    <w:rsid w:val="003F730A"/>
    <w:rsid w:val="0040030C"/>
    <w:rsid w:val="00400A71"/>
    <w:rsid w:val="00404AF7"/>
    <w:rsid w:val="00406171"/>
    <w:rsid w:val="004137E6"/>
    <w:rsid w:val="0041453C"/>
    <w:rsid w:val="00415365"/>
    <w:rsid w:val="00417F79"/>
    <w:rsid w:val="00417F8A"/>
    <w:rsid w:val="0042081D"/>
    <w:rsid w:val="00420D48"/>
    <w:rsid w:val="00421719"/>
    <w:rsid w:val="004242D8"/>
    <w:rsid w:val="00430CDD"/>
    <w:rsid w:val="00433CEB"/>
    <w:rsid w:val="00435574"/>
    <w:rsid w:val="00436C05"/>
    <w:rsid w:val="00437D81"/>
    <w:rsid w:val="00441A6E"/>
    <w:rsid w:val="00441D56"/>
    <w:rsid w:val="00444DB1"/>
    <w:rsid w:val="004454F9"/>
    <w:rsid w:val="00447406"/>
    <w:rsid w:val="00447AE8"/>
    <w:rsid w:val="00450672"/>
    <w:rsid w:val="004514CE"/>
    <w:rsid w:val="00451C94"/>
    <w:rsid w:val="00452177"/>
    <w:rsid w:val="00452EDA"/>
    <w:rsid w:val="00454A52"/>
    <w:rsid w:val="004558BB"/>
    <w:rsid w:val="00456BEF"/>
    <w:rsid w:val="00457490"/>
    <w:rsid w:val="0046108B"/>
    <w:rsid w:val="004651CC"/>
    <w:rsid w:val="00466A97"/>
    <w:rsid w:val="00466C3B"/>
    <w:rsid w:val="0047150D"/>
    <w:rsid w:val="00471896"/>
    <w:rsid w:val="00471EA7"/>
    <w:rsid w:val="004738B9"/>
    <w:rsid w:val="00476B20"/>
    <w:rsid w:val="0047702B"/>
    <w:rsid w:val="00481A94"/>
    <w:rsid w:val="00483A27"/>
    <w:rsid w:val="004854FF"/>
    <w:rsid w:val="0049155C"/>
    <w:rsid w:val="0049227D"/>
    <w:rsid w:val="00492444"/>
    <w:rsid w:val="00492A6D"/>
    <w:rsid w:val="0049330F"/>
    <w:rsid w:val="00493FDC"/>
    <w:rsid w:val="004955F5"/>
    <w:rsid w:val="004A021D"/>
    <w:rsid w:val="004A498C"/>
    <w:rsid w:val="004A598D"/>
    <w:rsid w:val="004B7F8A"/>
    <w:rsid w:val="004C2B04"/>
    <w:rsid w:val="004D1BA3"/>
    <w:rsid w:val="004D3F15"/>
    <w:rsid w:val="004D63F3"/>
    <w:rsid w:val="004D6F5F"/>
    <w:rsid w:val="004E2191"/>
    <w:rsid w:val="004E28B7"/>
    <w:rsid w:val="004E303B"/>
    <w:rsid w:val="004E35D5"/>
    <w:rsid w:val="004E4580"/>
    <w:rsid w:val="004E468D"/>
    <w:rsid w:val="004E7216"/>
    <w:rsid w:val="004E77EE"/>
    <w:rsid w:val="004F0E8B"/>
    <w:rsid w:val="004F0F25"/>
    <w:rsid w:val="004F14EA"/>
    <w:rsid w:val="004F2470"/>
    <w:rsid w:val="004F2722"/>
    <w:rsid w:val="004F4368"/>
    <w:rsid w:val="00500AF7"/>
    <w:rsid w:val="00501D67"/>
    <w:rsid w:val="00504E0D"/>
    <w:rsid w:val="00506B05"/>
    <w:rsid w:val="00511BC7"/>
    <w:rsid w:val="005120EA"/>
    <w:rsid w:val="00515866"/>
    <w:rsid w:val="005159B3"/>
    <w:rsid w:val="00515F9B"/>
    <w:rsid w:val="005207A9"/>
    <w:rsid w:val="00521263"/>
    <w:rsid w:val="00522B69"/>
    <w:rsid w:val="00523833"/>
    <w:rsid w:val="00523C57"/>
    <w:rsid w:val="005248A1"/>
    <w:rsid w:val="00527A05"/>
    <w:rsid w:val="00534516"/>
    <w:rsid w:val="00536E61"/>
    <w:rsid w:val="00537770"/>
    <w:rsid w:val="0054263D"/>
    <w:rsid w:val="00542A02"/>
    <w:rsid w:val="00543B9F"/>
    <w:rsid w:val="00545C9A"/>
    <w:rsid w:val="00545E34"/>
    <w:rsid w:val="00546608"/>
    <w:rsid w:val="00546B53"/>
    <w:rsid w:val="005526D4"/>
    <w:rsid w:val="00552BBD"/>
    <w:rsid w:val="0055387E"/>
    <w:rsid w:val="0055649E"/>
    <w:rsid w:val="00556B87"/>
    <w:rsid w:val="00561DA5"/>
    <w:rsid w:val="0056201F"/>
    <w:rsid w:val="005629AD"/>
    <w:rsid w:val="005642BB"/>
    <w:rsid w:val="0056545C"/>
    <w:rsid w:val="00565D31"/>
    <w:rsid w:val="00572411"/>
    <w:rsid w:val="0057532D"/>
    <w:rsid w:val="005760F5"/>
    <w:rsid w:val="00577C71"/>
    <w:rsid w:val="00584F06"/>
    <w:rsid w:val="005859E6"/>
    <w:rsid w:val="0058664B"/>
    <w:rsid w:val="005867D9"/>
    <w:rsid w:val="00587091"/>
    <w:rsid w:val="00592BC7"/>
    <w:rsid w:val="005A3856"/>
    <w:rsid w:val="005B5DCE"/>
    <w:rsid w:val="005C2E12"/>
    <w:rsid w:val="005D36AE"/>
    <w:rsid w:val="005D7082"/>
    <w:rsid w:val="005E1989"/>
    <w:rsid w:val="005E5D29"/>
    <w:rsid w:val="005E6214"/>
    <w:rsid w:val="005F04E6"/>
    <w:rsid w:val="005F17D5"/>
    <w:rsid w:val="005F1EFD"/>
    <w:rsid w:val="005F32DD"/>
    <w:rsid w:val="005F46BC"/>
    <w:rsid w:val="005F4834"/>
    <w:rsid w:val="005F7A53"/>
    <w:rsid w:val="00600921"/>
    <w:rsid w:val="00601C61"/>
    <w:rsid w:val="00602E42"/>
    <w:rsid w:val="00604BCC"/>
    <w:rsid w:val="00605EB9"/>
    <w:rsid w:val="00607B72"/>
    <w:rsid w:val="0061167A"/>
    <w:rsid w:val="00616205"/>
    <w:rsid w:val="00616618"/>
    <w:rsid w:val="00627172"/>
    <w:rsid w:val="0063173F"/>
    <w:rsid w:val="0063267D"/>
    <w:rsid w:val="00632E68"/>
    <w:rsid w:val="0063368C"/>
    <w:rsid w:val="00640442"/>
    <w:rsid w:val="006426A4"/>
    <w:rsid w:val="00643361"/>
    <w:rsid w:val="00643674"/>
    <w:rsid w:val="00644F79"/>
    <w:rsid w:val="00645E0B"/>
    <w:rsid w:val="006462A0"/>
    <w:rsid w:val="00653FBD"/>
    <w:rsid w:val="00654649"/>
    <w:rsid w:val="006636B3"/>
    <w:rsid w:val="0066396F"/>
    <w:rsid w:val="006649B1"/>
    <w:rsid w:val="0067090F"/>
    <w:rsid w:val="00672341"/>
    <w:rsid w:val="00672EAD"/>
    <w:rsid w:val="00673803"/>
    <w:rsid w:val="006805E8"/>
    <w:rsid w:val="0068075E"/>
    <w:rsid w:val="00684047"/>
    <w:rsid w:val="00685060"/>
    <w:rsid w:val="006859FB"/>
    <w:rsid w:val="00687E49"/>
    <w:rsid w:val="006942F8"/>
    <w:rsid w:val="00695947"/>
    <w:rsid w:val="006960C5"/>
    <w:rsid w:val="006A11EC"/>
    <w:rsid w:val="006A3BB1"/>
    <w:rsid w:val="006A5240"/>
    <w:rsid w:val="006A7877"/>
    <w:rsid w:val="006B1E7D"/>
    <w:rsid w:val="006B33B1"/>
    <w:rsid w:val="006B3F14"/>
    <w:rsid w:val="006B4ECC"/>
    <w:rsid w:val="006B51D6"/>
    <w:rsid w:val="006B657A"/>
    <w:rsid w:val="006B6AD2"/>
    <w:rsid w:val="006B775D"/>
    <w:rsid w:val="006B7E67"/>
    <w:rsid w:val="006C03CF"/>
    <w:rsid w:val="006D0727"/>
    <w:rsid w:val="006D21B0"/>
    <w:rsid w:val="006D3749"/>
    <w:rsid w:val="006D504E"/>
    <w:rsid w:val="006D64F4"/>
    <w:rsid w:val="006E2378"/>
    <w:rsid w:val="006E608C"/>
    <w:rsid w:val="006E70F9"/>
    <w:rsid w:val="006E7378"/>
    <w:rsid w:val="006F53BC"/>
    <w:rsid w:val="006F6C61"/>
    <w:rsid w:val="00701222"/>
    <w:rsid w:val="00706918"/>
    <w:rsid w:val="0071009F"/>
    <w:rsid w:val="0071062E"/>
    <w:rsid w:val="007109D9"/>
    <w:rsid w:val="00713A39"/>
    <w:rsid w:val="00715952"/>
    <w:rsid w:val="007211FC"/>
    <w:rsid w:val="00736434"/>
    <w:rsid w:val="00736C77"/>
    <w:rsid w:val="007426A9"/>
    <w:rsid w:val="0074335C"/>
    <w:rsid w:val="007442A9"/>
    <w:rsid w:val="00744625"/>
    <w:rsid w:val="0074566A"/>
    <w:rsid w:val="00745D48"/>
    <w:rsid w:val="00746F32"/>
    <w:rsid w:val="0075181D"/>
    <w:rsid w:val="00752226"/>
    <w:rsid w:val="0075269B"/>
    <w:rsid w:val="007544A7"/>
    <w:rsid w:val="00760377"/>
    <w:rsid w:val="00760C31"/>
    <w:rsid w:val="007613E7"/>
    <w:rsid w:val="00764515"/>
    <w:rsid w:val="007658B3"/>
    <w:rsid w:val="0076664F"/>
    <w:rsid w:val="007716B7"/>
    <w:rsid w:val="0077225A"/>
    <w:rsid w:val="00775554"/>
    <w:rsid w:val="00775A70"/>
    <w:rsid w:val="00776F2D"/>
    <w:rsid w:val="00776FDF"/>
    <w:rsid w:val="00780015"/>
    <w:rsid w:val="007800D9"/>
    <w:rsid w:val="00781726"/>
    <w:rsid w:val="007828F0"/>
    <w:rsid w:val="007841EE"/>
    <w:rsid w:val="00786099"/>
    <w:rsid w:val="007865B5"/>
    <w:rsid w:val="007900BA"/>
    <w:rsid w:val="0079047A"/>
    <w:rsid w:val="00790BD6"/>
    <w:rsid w:val="00792304"/>
    <w:rsid w:val="00792B5E"/>
    <w:rsid w:val="0079478D"/>
    <w:rsid w:val="00795067"/>
    <w:rsid w:val="007973EF"/>
    <w:rsid w:val="007975A7"/>
    <w:rsid w:val="007977DF"/>
    <w:rsid w:val="007A3EE3"/>
    <w:rsid w:val="007A4F63"/>
    <w:rsid w:val="007A6490"/>
    <w:rsid w:val="007B1342"/>
    <w:rsid w:val="007B1B49"/>
    <w:rsid w:val="007B2816"/>
    <w:rsid w:val="007B4AC1"/>
    <w:rsid w:val="007B4B2E"/>
    <w:rsid w:val="007B6EE7"/>
    <w:rsid w:val="007C1DD3"/>
    <w:rsid w:val="007C2F65"/>
    <w:rsid w:val="007C3C25"/>
    <w:rsid w:val="007C3CCE"/>
    <w:rsid w:val="007C44B1"/>
    <w:rsid w:val="007C536C"/>
    <w:rsid w:val="007C55D3"/>
    <w:rsid w:val="007C702B"/>
    <w:rsid w:val="007D485E"/>
    <w:rsid w:val="007F2131"/>
    <w:rsid w:val="007F698A"/>
    <w:rsid w:val="00803115"/>
    <w:rsid w:val="00804363"/>
    <w:rsid w:val="0080615D"/>
    <w:rsid w:val="0081187A"/>
    <w:rsid w:val="00811E80"/>
    <w:rsid w:val="00813215"/>
    <w:rsid w:val="00814F1D"/>
    <w:rsid w:val="00816258"/>
    <w:rsid w:val="00817683"/>
    <w:rsid w:val="00820254"/>
    <w:rsid w:val="00821B5A"/>
    <w:rsid w:val="008254D6"/>
    <w:rsid w:val="0082553E"/>
    <w:rsid w:val="00834586"/>
    <w:rsid w:val="008353CF"/>
    <w:rsid w:val="00836496"/>
    <w:rsid w:val="0084025F"/>
    <w:rsid w:val="00840639"/>
    <w:rsid w:val="00841408"/>
    <w:rsid w:val="00843C67"/>
    <w:rsid w:val="008440DA"/>
    <w:rsid w:val="00844B88"/>
    <w:rsid w:val="008478C1"/>
    <w:rsid w:val="00847D24"/>
    <w:rsid w:val="00852A9F"/>
    <w:rsid w:val="008546CB"/>
    <w:rsid w:val="00855DC9"/>
    <w:rsid w:val="008570A6"/>
    <w:rsid w:val="008608DB"/>
    <w:rsid w:val="008618A6"/>
    <w:rsid w:val="008639F9"/>
    <w:rsid w:val="008642AD"/>
    <w:rsid w:val="00865666"/>
    <w:rsid w:val="00866192"/>
    <w:rsid w:val="008679AB"/>
    <w:rsid w:val="00871A2B"/>
    <w:rsid w:val="00872F80"/>
    <w:rsid w:val="0087356C"/>
    <w:rsid w:val="00873D95"/>
    <w:rsid w:val="00880A97"/>
    <w:rsid w:val="008833C7"/>
    <w:rsid w:val="00883B9C"/>
    <w:rsid w:val="00885B79"/>
    <w:rsid w:val="0088668F"/>
    <w:rsid w:val="00886E44"/>
    <w:rsid w:val="00891BFB"/>
    <w:rsid w:val="00894279"/>
    <w:rsid w:val="00896B2D"/>
    <w:rsid w:val="00897DD4"/>
    <w:rsid w:val="008A0C74"/>
    <w:rsid w:val="008A2895"/>
    <w:rsid w:val="008A7420"/>
    <w:rsid w:val="008A79F7"/>
    <w:rsid w:val="008B0149"/>
    <w:rsid w:val="008B16E6"/>
    <w:rsid w:val="008B1B2C"/>
    <w:rsid w:val="008B20D2"/>
    <w:rsid w:val="008B234D"/>
    <w:rsid w:val="008B2FFD"/>
    <w:rsid w:val="008B3566"/>
    <w:rsid w:val="008B5D8E"/>
    <w:rsid w:val="008B7661"/>
    <w:rsid w:val="008B7911"/>
    <w:rsid w:val="008C39E9"/>
    <w:rsid w:val="008C3BD6"/>
    <w:rsid w:val="008C53EE"/>
    <w:rsid w:val="008C6FD4"/>
    <w:rsid w:val="008D0D2F"/>
    <w:rsid w:val="008D2C36"/>
    <w:rsid w:val="008D4761"/>
    <w:rsid w:val="008D4CC9"/>
    <w:rsid w:val="008D5F6D"/>
    <w:rsid w:val="008D6388"/>
    <w:rsid w:val="008D6447"/>
    <w:rsid w:val="008D73FF"/>
    <w:rsid w:val="008E0247"/>
    <w:rsid w:val="008E0949"/>
    <w:rsid w:val="008E454E"/>
    <w:rsid w:val="008E5633"/>
    <w:rsid w:val="008E5CAE"/>
    <w:rsid w:val="008E797E"/>
    <w:rsid w:val="008F1078"/>
    <w:rsid w:val="008F218C"/>
    <w:rsid w:val="008F27D7"/>
    <w:rsid w:val="008F2BD3"/>
    <w:rsid w:val="008F47F5"/>
    <w:rsid w:val="009018D6"/>
    <w:rsid w:val="00901AE4"/>
    <w:rsid w:val="00903466"/>
    <w:rsid w:val="0091074D"/>
    <w:rsid w:val="00912A87"/>
    <w:rsid w:val="0091369B"/>
    <w:rsid w:val="009206EE"/>
    <w:rsid w:val="00922B1E"/>
    <w:rsid w:val="00923083"/>
    <w:rsid w:val="009254F4"/>
    <w:rsid w:val="00927473"/>
    <w:rsid w:val="009326E6"/>
    <w:rsid w:val="00932B80"/>
    <w:rsid w:val="009353BD"/>
    <w:rsid w:val="00945580"/>
    <w:rsid w:val="009467E1"/>
    <w:rsid w:val="00950614"/>
    <w:rsid w:val="00951750"/>
    <w:rsid w:val="00953744"/>
    <w:rsid w:val="00954B49"/>
    <w:rsid w:val="009551E6"/>
    <w:rsid w:val="009643BE"/>
    <w:rsid w:val="009651D7"/>
    <w:rsid w:val="00965AA6"/>
    <w:rsid w:val="00965BF6"/>
    <w:rsid w:val="00966530"/>
    <w:rsid w:val="00967C99"/>
    <w:rsid w:val="009711B5"/>
    <w:rsid w:val="009725F5"/>
    <w:rsid w:val="00972748"/>
    <w:rsid w:val="00972F48"/>
    <w:rsid w:val="00973399"/>
    <w:rsid w:val="009762E5"/>
    <w:rsid w:val="0098059E"/>
    <w:rsid w:val="00980BA5"/>
    <w:rsid w:val="00982FBE"/>
    <w:rsid w:val="00984A14"/>
    <w:rsid w:val="009855B7"/>
    <w:rsid w:val="00990DB6"/>
    <w:rsid w:val="00993276"/>
    <w:rsid w:val="00993F73"/>
    <w:rsid w:val="00994678"/>
    <w:rsid w:val="00995958"/>
    <w:rsid w:val="0099599E"/>
    <w:rsid w:val="00996506"/>
    <w:rsid w:val="00996A43"/>
    <w:rsid w:val="009A030D"/>
    <w:rsid w:val="009A0974"/>
    <w:rsid w:val="009A10BA"/>
    <w:rsid w:val="009A6F79"/>
    <w:rsid w:val="009A7D31"/>
    <w:rsid w:val="009B2022"/>
    <w:rsid w:val="009B439E"/>
    <w:rsid w:val="009C25C4"/>
    <w:rsid w:val="009C37F3"/>
    <w:rsid w:val="009C496D"/>
    <w:rsid w:val="009D0DDC"/>
    <w:rsid w:val="009D1DCD"/>
    <w:rsid w:val="009D1E91"/>
    <w:rsid w:val="009D2618"/>
    <w:rsid w:val="009D3CD9"/>
    <w:rsid w:val="009D5B13"/>
    <w:rsid w:val="009D7212"/>
    <w:rsid w:val="009D7B66"/>
    <w:rsid w:val="009E1EE5"/>
    <w:rsid w:val="009E6719"/>
    <w:rsid w:val="009E7164"/>
    <w:rsid w:val="009E73E3"/>
    <w:rsid w:val="009E75E0"/>
    <w:rsid w:val="009F05CA"/>
    <w:rsid w:val="009F0700"/>
    <w:rsid w:val="009F0890"/>
    <w:rsid w:val="009F217D"/>
    <w:rsid w:val="009F333A"/>
    <w:rsid w:val="009F39CD"/>
    <w:rsid w:val="009F4FEE"/>
    <w:rsid w:val="009F5A33"/>
    <w:rsid w:val="009F5F23"/>
    <w:rsid w:val="00A02B51"/>
    <w:rsid w:val="00A0325C"/>
    <w:rsid w:val="00A044CB"/>
    <w:rsid w:val="00A07383"/>
    <w:rsid w:val="00A13D44"/>
    <w:rsid w:val="00A1443D"/>
    <w:rsid w:val="00A147CE"/>
    <w:rsid w:val="00A15001"/>
    <w:rsid w:val="00A164C5"/>
    <w:rsid w:val="00A17623"/>
    <w:rsid w:val="00A221E0"/>
    <w:rsid w:val="00A22A75"/>
    <w:rsid w:val="00A242EF"/>
    <w:rsid w:val="00A25944"/>
    <w:rsid w:val="00A32C3C"/>
    <w:rsid w:val="00A33944"/>
    <w:rsid w:val="00A34986"/>
    <w:rsid w:val="00A34D1B"/>
    <w:rsid w:val="00A36207"/>
    <w:rsid w:val="00A36855"/>
    <w:rsid w:val="00A3728E"/>
    <w:rsid w:val="00A40DC5"/>
    <w:rsid w:val="00A41BBF"/>
    <w:rsid w:val="00A434A3"/>
    <w:rsid w:val="00A44208"/>
    <w:rsid w:val="00A47AFC"/>
    <w:rsid w:val="00A52884"/>
    <w:rsid w:val="00A5439E"/>
    <w:rsid w:val="00A55541"/>
    <w:rsid w:val="00A557AB"/>
    <w:rsid w:val="00A574F1"/>
    <w:rsid w:val="00A61DA5"/>
    <w:rsid w:val="00A631F4"/>
    <w:rsid w:val="00A6466E"/>
    <w:rsid w:val="00A65550"/>
    <w:rsid w:val="00A6564E"/>
    <w:rsid w:val="00A71C92"/>
    <w:rsid w:val="00A73605"/>
    <w:rsid w:val="00A7366C"/>
    <w:rsid w:val="00A84713"/>
    <w:rsid w:val="00A869F5"/>
    <w:rsid w:val="00A90095"/>
    <w:rsid w:val="00A91626"/>
    <w:rsid w:val="00A91EC6"/>
    <w:rsid w:val="00A9585A"/>
    <w:rsid w:val="00A96014"/>
    <w:rsid w:val="00A96541"/>
    <w:rsid w:val="00A97A20"/>
    <w:rsid w:val="00AA2653"/>
    <w:rsid w:val="00AA2F22"/>
    <w:rsid w:val="00AA33C3"/>
    <w:rsid w:val="00AA5397"/>
    <w:rsid w:val="00AA660A"/>
    <w:rsid w:val="00AB0B94"/>
    <w:rsid w:val="00AB317A"/>
    <w:rsid w:val="00AB3811"/>
    <w:rsid w:val="00AB5E4C"/>
    <w:rsid w:val="00AB7C7E"/>
    <w:rsid w:val="00AB7D6A"/>
    <w:rsid w:val="00AC4445"/>
    <w:rsid w:val="00AC52EC"/>
    <w:rsid w:val="00AC6A3A"/>
    <w:rsid w:val="00AD1702"/>
    <w:rsid w:val="00AD4ADE"/>
    <w:rsid w:val="00AD590B"/>
    <w:rsid w:val="00AD5B13"/>
    <w:rsid w:val="00AD668C"/>
    <w:rsid w:val="00AD7162"/>
    <w:rsid w:val="00AE011A"/>
    <w:rsid w:val="00AE0447"/>
    <w:rsid w:val="00AE0BD3"/>
    <w:rsid w:val="00AE1E2D"/>
    <w:rsid w:val="00AF119C"/>
    <w:rsid w:val="00AF3C0E"/>
    <w:rsid w:val="00AF4A2E"/>
    <w:rsid w:val="00AF4FC5"/>
    <w:rsid w:val="00B00CAA"/>
    <w:rsid w:val="00B00EF7"/>
    <w:rsid w:val="00B01701"/>
    <w:rsid w:val="00B02EE2"/>
    <w:rsid w:val="00B03103"/>
    <w:rsid w:val="00B03241"/>
    <w:rsid w:val="00B04D21"/>
    <w:rsid w:val="00B11E28"/>
    <w:rsid w:val="00B12F31"/>
    <w:rsid w:val="00B13C9D"/>
    <w:rsid w:val="00B13D2A"/>
    <w:rsid w:val="00B1506C"/>
    <w:rsid w:val="00B15451"/>
    <w:rsid w:val="00B16384"/>
    <w:rsid w:val="00B21B2C"/>
    <w:rsid w:val="00B21FE5"/>
    <w:rsid w:val="00B22B40"/>
    <w:rsid w:val="00B23E4E"/>
    <w:rsid w:val="00B24245"/>
    <w:rsid w:val="00B308E8"/>
    <w:rsid w:val="00B30D57"/>
    <w:rsid w:val="00B32129"/>
    <w:rsid w:val="00B32BED"/>
    <w:rsid w:val="00B33DEA"/>
    <w:rsid w:val="00B3716F"/>
    <w:rsid w:val="00B378BC"/>
    <w:rsid w:val="00B4000C"/>
    <w:rsid w:val="00B40356"/>
    <w:rsid w:val="00B40C20"/>
    <w:rsid w:val="00B42B94"/>
    <w:rsid w:val="00B523F7"/>
    <w:rsid w:val="00B52ACB"/>
    <w:rsid w:val="00B55077"/>
    <w:rsid w:val="00B5556E"/>
    <w:rsid w:val="00B570AD"/>
    <w:rsid w:val="00B62F65"/>
    <w:rsid w:val="00B70A7C"/>
    <w:rsid w:val="00B744C8"/>
    <w:rsid w:val="00B762A0"/>
    <w:rsid w:val="00B80EBB"/>
    <w:rsid w:val="00B81EFB"/>
    <w:rsid w:val="00B82255"/>
    <w:rsid w:val="00B84CBA"/>
    <w:rsid w:val="00B84EFC"/>
    <w:rsid w:val="00B8629D"/>
    <w:rsid w:val="00B87220"/>
    <w:rsid w:val="00B90122"/>
    <w:rsid w:val="00B908D4"/>
    <w:rsid w:val="00B9412C"/>
    <w:rsid w:val="00B95004"/>
    <w:rsid w:val="00B95224"/>
    <w:rsid w:val="00B95496"/>
    <w:rsid w:val="00B97136"/>
    <w:rsid w:val="00BA7C89"/>
    <w:rsid w:val="00BB1753"/>
    <w:rsid w:val="00BB3958"/>
    <w:rsid w:val="00BB42FF"/>
    <w:rsid w:val="00BB59DA"/>
    <w:rsid w:val="00BC0AA6"/>
    <w:rsid w:val="00BC3202"/>
    <w:rsid w:val="00BC3E92"/>
    <w:rsid w:val="00BC4A50"/>
    <w:rsid w:val="00BC54DB"/>
    <w:rsid w:val="00BC64EC"/>
    <w:rsid w:val="00BC7E07"/>
    <w:rsid w:val="00BD232B"/>
    <w:rsid w:val="00BD34EF"/>
    <w:rsid w:val="00BD486A"/>
    <w:rsid w:val="00BD5752"/>
    <w:rsid w:val="00BD5835"/>
    <w:rsid w:val="00BE1A6D"/>
    <w:rsid w:val="00BE3AC9"/>
    <w:rsid w:val="00BE5B01"/>
    <w:rsid w:val="00BE6377"/>
    <w:rsid w:val="00BF3FAA"/>
    <w:rsid w:val="00BF4C2C"/>
    <w:rsid w:val="00BF4E87"/>
    <w:rsid w:val="00BF7B7E"/>
    <w:rsid w:val="00BF7DBE"/>
    <w:rsid w:val="00BF7E5B"/>
    <w:rsid w:val="00C01879"/>
    <w:rsid w:val="00C03178"/>
    <w:rsid w:val="00C056D4"/>
    <w:rsid w:val="00C1090A"/>
    <w:rsid w:val="00C151A8"/>
    <w:rsid w:val="00C15843"/>
    <w:rsid w:val="00C1653D"/>
    <w:rsid w:val="00C20238"/>
    <w:rsid w:val="00C2036C"/>
    <w:rsid w:val="00C20853"/>
    <w:rsid w:val="00C213CF"/>
    <w:rsid w:val="00C230E8"/>
    <w:rsid w:val="00C251CF"/>
    <w:rsid w:val="00C311A2"/>
    <w:rsid w:val="00C32702"/>
    <w:rsid w:val="00C33180"/>
    <w:rsid w:val="00C3403F"/>
    <w:rsid w:val="00C35047"/>
    <w:rsid w:val="00C36EE3"/>
    <w:rsid w:val="00C416CE"/>
    <w:rsid w:val="00C45249"/>
    <w:rsid w:val="00C479A0"/>
    <w:rsid w:val="00C50645"/>
    <w:rsid w:val="00C5342D"/>
    <w:rsid w:val="00C54349"/>
    <w:rsid w:val="00C56A95"/>
    <w:rsid w:val="00C62B9A"/>
    <w:rsid w:val="00C63B50"/>
    <w:rsid w:val="00C64C6C"/>
    <w:rsid w:val="00C6603F"/>
    <w:rsid w:val="00C660C4"/>
    <w:rsid w:val="00C7461B"/>
    <w:rsid w:val="00C74660"/>
    <w:rsid w:val="00C764DD"/>
    <w:rsid w:val="00C836C7"/>
    <w:rsid w:val="00C84238"/>
    <w:rsid w:val="00C8544B"/>
    <w:rsid w:val="00C86AB1"/>
    <w:rsid w:val="00C87438"/>
    <w:rsid w:val="00C874EE"/>
    <w:rsid w:val="00C9029A"/>
    <w:rsid w:val="00C9470A"/>
    <w:rsid w:val="00C966C6"/>
    <w:rsid w:val="00C97B90"/>
    <w:rsid w:val="00CA0971"/>
    <w:rsid w:val="00CA4D68"/>
    <w:rsid w:val="00CA4F2F"/>
    <w:rsid w:val="00CA5839"/>
    <w:rsid w:val="00CA6607"/>
    <w:rsid w:val="00CB01B8"/>
    <w:rsid w:val="00CB040B"/>
    <w:rsid w:val="00CB091A"/>
    <w:rsid w:val="00CB34E7"/>
    <w:rsid w:val="00CB429F"/>
    <w:rsid w:val="00CB53C8"/>
    <w:rsid w:val="00CB5497"/>
    <w:rsid w:val="00CC1F26"/>
    <w:rsid w:val="00CC39B5"/>
    <w:rsid w:val="00CD4BA6"/>
    <w:rsid w:val="00CD5F62"/>
    <w:rsid w:val="00CD739F"/>
    <w:rsid w:val="00CD7DE7"/>
    <w:rsid w:val="00CE5225"/>
    <w:rsid w:val="00CF4232"/>
    <w:rsid w:val="00CF464F"/>
    <w:rsid w:val="00CF5ECE"/>
    <w:rsid w:val="00CF6BE2"/>
    <w:rsid w:val="00D04DB7"/>
    <w:rsid w:val="00D04DF0"/>
    <w:rsid w:val="00D05433"/>
    <w:rsid w:val="00D05716"/>
    <w:rsid w:val="00D108A0"/>
    <w:rsid w:val="00D164B3"/>
    <w:rsid w:val="00D2099C"/>
    <w:rsid w:val="00D24242"/>
    <w:rsid w:val="00D3238A"/>
    <w:rsid w:val="00D3264E"/>
    <w:rsid w:val="00D32EA6"/>
    <w:rsid w:val="00D32F4A"/>
    <w:rsid w:val="00D34CF6"/>
    <w:rsid w:val="00D34EBC"/>
    <w:rsid w:val="00D3521F"/>
    <w:rsid w:val="00D41A4C"/>
    <w:rsid w:val="00D41BE7"/>
    <w:rsid w:val="00D41DD2"/>
    <w:rsid w:val="00D4452F"/>
    <w:rsid w:val="00D5026C"/>
    <w:rsid w:val="00D50660"/>
    <w:rsid w:val="00D50F50"/>
    <w:rsid w:val="00D52668"/>
    <w:rsid w:val="00D55B9F"/>
    <w:rsid w:val="00D574D8"/>
    <w:rsid w:val="00D60BC3"/>
    <w:rsid w:val="00D66B92"/>
    <w:rsid w:val="00D671FF"/>
    <w:rsid w:val="00D70F70"/>
    <w:rsid w:val="00D72AF2"/>
    <w:rsid w:val="00D735A9"/>
    <w:rsid w:val="00D740B2"/>
    <w:rsid w:val="00D76F6F"/>
    <w:rsid w:val="00D8169C"/>
    <w:rsid w:val="00D81A77"/>
    <w:rsid w:val="00D8438C"/>
    <w:rsid w:val="00D87748"/>
    <w:rsid w:val="00DA08D0"/>
    <w:rsid w:val="00DA1591"/>
    <w:rsid w:val="00DA2CE9"/>
    <w:rsid w:val="00DA2EF5"/>
    <w:rsid w:val="00DA4F9C"/>
    <w:rsid w:val="00DA70C3"/>
    <w:rsid w:val="00DB13F2"/>
    <w:rsid w:val="00DB2C76"/>
    <w:rsid w:val="00DB3BFC"/>
    <w:rsid w:val="00DB4B2E"/>
    <w:rsid w:val="00DB6678"/>
    <w:rsid w:val="00DB6724"/>
    <w:rsid w:val="00DC1A15"/>
    <w:rsid w:val="00DC5492"/>
    <w:rsid w:val="00DC5761"/>
    <w:rsid w:val="00DC5872"/>
    <w:rsid w:val="00DD0B80"/>
    <w:rsid w:val="00DD1452"/>
    <w:rsid w:val="00DD17D4"/>
    <w:rsid w:val="00DD2ECB"/>
    <w:rsid w:val="00DD399F"/>
    <w:rsid w:val="00DD3A43"/>
    <w:rsid w:val="00DD3ADC"/>
    <w:rsid w:val="00DD3C2D"/>
    <w:rsid w:val="00DD5556"/>
    <w:rsid w:val="00DE2E11"/>
    <w:rsid w:val="00DE3DAE"/>
    <w:rsid w:val="00DE5786"/>
    <w:rsid w:val="00DE6186"/>
    <w:rsid w:val="00DF090A"/>
    <w:rsid w:val="00DF24A9"/>
    <w:rsid w:val="00E0032A"/>
    <w:rsid w:val="00E00CBA"/>
    <w:rsid w:val="00E01A20"/>
    <w:rsid w:val="00E02317"/>
    <w:rsid w:val="00E02F5D"/>
    <w:rsid w:val="00E032EC"/>
    <w:rsid w:val="00E05CEF"/>
    <w:rsid w:val="00E129A9"/>
    <w:rsid w:val="00E132CC"/>
    <w:rsid w:val="00E16C65"/>
    <w:rsid w:val="00E17AE7"/>
    <w:rsid w:val="00E20427"/>
    <w:rsid w:val="00E20E5F"/>
    <w:rsid w:val="00E25AB1"/>
    <w:rsid w:val="00E269B0"/>
    <w:rsid w:val="00E26A18"/>
    <w:rsid w:val="00E30888"/>
    <w:rsid w:val="00E31859"/>
    <w:rsid w:val="00E32360"/>
    <w:rsid w:val="00E342D3"/>
    <w:rsid w:val="00E357D3"/>
    <w:rsid w:val="00E358D3"/>
    <w:rsid w:val="00E422B9"/>
    <w:rsid w:val="00E4341B"/>
    <w:rsid w:val="00E44F6D"/>
    <w:rsid w:val="00E45C06"/>
    <w:rsid w:val="00E52ED8"/>
    <w:rsid w:val="00E56A7E"/>
    <w:rsid w:val="00E61F82"/>
    <w:rsid w:val="00E64CDC"/>
    <w:rsid w:val="00E709FF"/>
    <w:rsid w:val="00E7374F"/>
    <w:rsid w:val="00E73DA8"/>
    <w:rsid w:val="00E774E3"/>
    <w:rsid w:val="00E80013"/>
    <w:rsid w:val="00E836D1"/>
    <w:rsid w:val="00E845F0"/>
    <w:rsid w:val="00E846EA"/>
    <w:rsid w:val="00E85636"/>
    <w:rsid w:val="00E87B92"/>
    <w:rsid w:val="00E90565"/>
    <w:rsid w:val="00E95E83"/>
    <w:rsid w:val="00E9645A"/>
    <w:rsid w:val="00E9672F"/>
    <w:rsid w:val="00E97776"/>
    <w:rsid w:val="00EA15F5"/>
    <w:rsid w:val="00EA1D87"/>
    <w:rsid w:val="00EA507C"/>
    <w:rsid w:val="00EB39DD"/>
    <w:rsid w:val="00EB75CA"/>
    <w:rsid w:val="00EC5A91"/>
    <w:rsid w:val="00ED163E"/>
    <w:rsid w:val="00ED2DC9"/>
    <w:rsid w:val="00ED47A1"/>
    <w:rsid w:val="00ED68F7"/>
    <w:rsid w:val="00ED6A6B"/>
    <w:rsid w:val="00EE1D47"/>
    <w:rsid w:val="00EE2490"/>
    <w:rsid w:val="00EE2D95"/>
    <w:rsid w:val="00EE3AB5"/>
    <w:rsid w:val="00EE3F75"/>
    <w:rsid w:val="00EE48D5"/>
    <w:rsid w:val="00EE50E7"/>
    <w:rsid w:val="00EF0D4F"/>
    <w:rsid w:val="00EF329C"/>
    <w:rsid w:val="00EF556B"/>
    <w:rsid w:val="00EF62D9"/>
    <w:rsid w:val="00EF78D8"/>
    <w:rsid w:val="00F0168B"/>
    <w:rsid w:val="00F02965"/>
    <w:rsid w:val="00F03BF9"/>
    <w:rsid w:val="00F15424"/>
    <w:rsid w:val="00F16437"/>
    <w:rsid w:val="00F17395"/>
    <w:rsid w:val="00F17B10"/>
    <w:rsid w:val="00F21125"/>
    <w:rsid w:val="00F225C8"/>
    <w:rsid w:val="00F23460"/>
    <w:rsid w:val="00F250EC"/>
    <w:rsid w:val="00F254CC"/>
    <w:rsid w:val="00F308D0"/>
    <w:rsid w:val="00F31812"/>
    <w:rsid w:val="00F3187A"/>
    <w:rsid w:val="00F32212"/>
    <w:rsid w:val="00F325E5"/>
    <w:rsid w:val="00F34556"/>
    <w:rsid w:val="00F34A8E"/>
    <w:rsid w:val="00F44C2E"/>
    <w:rsid w:val="00F45567"/>
    <w:rsid w:val="00F504AE"/>
    <w:rsid w:val="00F51381"/>
    <w:rsid w:val="00F520CC"/>
    <w:rsid w:val="00F52B8E"/>
    <w:rsid w:val="00F53634"/>
    <w:rsid w:val="00F538FD"/>
    <w:rsid w:val="00F60942"/>
    <w:rsid w:val="00F61F67"/>
    <w:rsid w:val="00F62DD2"/>
    <w:rsid w:val="00F649AF"/>
    <w:rsid w:val="00F64FE5"/>
    <w:rsid w:val="00F658EB"/>
    <w:rsid w:val="00F665E4"/>
    <w:rsid w:val="00F67033"/>
    <w:rsid w:val="00F72BB1"/>
    <w:rsid w:val="00F72E62"/>
    <w:rsid w:val="00F73320"/>
    <w:rsid w:val="00F73C04"/>
    <w:rsid w:val="00F73EB3"/>
    <w:rsid w:val="00F771A6"/>
    <w:rsid w:val="00F809EA"/>
    <w:rsid w:val="00F80F20"/>
    <w:rsid w:val="00F822C5"/>
    <w:rsid w:val="00F84B83"/>
    <w:rsid w:val="00F864E1"/>
    <w:rsid w:val="00F87D43"/>
    <w:rsid w:val="00F92173"/>
    <w:rsid w:val="00F92B94"/>
    <w:rsid w:val="00F939F1"/>
    <w:rsid w:val="00F94A6B"/>
    <w:rsid w:val="00F978B8"/>
    <w:rsid w:val="00FA50A9"/>
    <w:rsid w:val="00FB019A"/>
    <w:rsid w:val="00FB058B"/>
    <w:rsid w:val="00FB0706"/>
    <w:rsid w:val="00FB0B48"/>
    <w:rsid w:val="00FB0F27"/>
    <w:rsid w:val="00FB40DF"/>
    <w:rsid w:val="00FB51BA"/>
    <w:rsid w:val="00FB5BEB"/>
    <w:rsid w:val="00FC010B"/>
    <w:rsid w:val="00FC06C0"/>
    <w:rsid w:val="00FC0B41"/>
    <w:rsid w:val="00FC0F0B"/>
    <w:rsid w:val="00FC125B"/>
    <w:rsid w:val="00FC2628"/>
    <w:rsid w:val="00FC32D9"/>
    <w:rsid w:val="00FC371A"/>
    <w:rsid w:val="00FD2DF9"/>
    <w:rsid w:val="00FD471A"/>
    <w:rsid w:val="00FD4DD3"/>
    <w:rsid w:val="00FD7A6C"/>
    <w:rsid w:val="00FE0866"/>
    <w:rsid w:val="00FE6BFC"/>
    <w:rsid w:val="00FF3905"/>
    <w:rsid w:val="00FF3F9E"/>
    <w:rsid w:val="00FF7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B6AD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B6AD2"/>
    <w:rPr>
      <w:sz w:val="20"/>
      <w:szCs w:val="20"/>
    </w:rPr>
  </w:style>
  <w:style w:type="character" w:styleId="DipnotBavurusu">
    <w:name w:val="footnote reference"/>
    <w:basedOn w:val="VarsaylanParagrafYazTipi"/>
    <w:uiPriority w:val="99"/>
    <w:semiHidden/>
    <w:unhideWhenUsed/>
    <w:rsid w:val="006B6AD2"/>
    <w:rPr>
      <w:vertAlign w:val="superscript"/>
    </w:rPr>
  </w:style>
  <w:style w:type="paragraph" w:styleId="ListeParagraf">
    <w:name w:val="List Paragraph"/>
    <w:basedOn w:val="Normal"/>
    <w:uiPriority w:val="34"/>
    <w:qFormat/>
    <w:rsid w:val="009A6F79"/>
    <w:pPr>
      <w:ind w:left="720"/>
      <w:contextualSpacing/>
    </w:pPr>
  </w:style>
  <w:style w:type="paragraph" w:styleId="stbilgi">
    <w:name w:val="header"/>
    <w:basedOn w:val="Normal"/>
    <w:link w:val="stbilgiChar"/>
    <w:uiPriority w:val="99"/>
    <w:unhideWhenUsed/>
    <w:rsid w:val="00DA70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70C3"/>
  </w:style>
  <w:style w:type="paragraph" w:styleId="Altbilgi">
    <w:name w:val="footer"/>
    <w:basedOn w:val="Normal"/>
    <w:link w:val="AltbilgiChar"/>
    <w:uiPriority w:val="99"/>
    <w:unhideWhenUsed/>
    <w:rsid w:val="00DA70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70C3"/>
  </w:style>
  <w:style w:type="paragraph" w:styleId="AralkYok">
    <w:name w:val="No Spacing"/>
    <w:link w:val="AralkYokChar"/>
    <w:uiPriority w:val="1"/>
    <w:qFormat/>
    <w:rsid w:val="003447A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447A9"/>
    <w:rPr>
      <w:rFonts w:eastAsiaTheme="minorEastAsia"/>
      <w:lang w:eastAsia="tr-TR"/>
    </w:rPr>
  </w:style>
  <w:style w:type="paragraph" w:styleId="BalonMetni">
    <w:name w:val="Balloon Text"/>
    <w:basedOn w:val="Normal"/>
    <w:link w:val="BalonMetniChar"/>
    <w:uiPriority w:val="99"/>
    <w:semiHidden/>
    <w:unhideWhenUsed/>
    <w:rsid w:val="003447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47A9"/>
    <w:rPr>
      <w:rFonts w:ascii="Tahoma" w:hAnsi="Tahoma" w:cs="Tahoma"/>
      <w:sz w:val="16"/>
      <w:szCs w:val="16"/>
    </w:rPr>
  </w:style>
  <w:style w:type="character" w:styleId="YerTutucuMetni">
    <w:name w:val="Placeholder Text"/>
    <w:basedOn w:val="VarsaylanParagrafYazTipi"/>
    <w:uiPriority w:val="99"/>
    <w:semiHidden/>
    <w:rsid w:val="0030731C"/>
    <w:rPr>
      <w:color w:val="808080"/>
    </w:rPr>
  </w:style>
  <w:style w:type="table" w:customStyle="1" w:styleId="TabloKlavuzu1">
    <w:name w:val="Tablo Kılavuzu1"/>
    <w:basedOn w:val="NormalTablo"/>
    <w:next w:val="TabloKlavuzu"/>
    <w:uiPriority w:val="59"/>
    <w:rsid w:val="0027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27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B6AD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B6AD2"/>
    <w:rPr>
      <w:sz w:val="20"/>
      <w:szCs w:val="20"/>
    </w:rPr>
  </w:style>
  <w:style w:type="character" w:styleId="DipnotBavurusu">
    <w:name w:val="footnote reference"/>
    <w:basedOn w:val="VarsaylanParagrafYazTipi"/>
    <w:uiPriority w:val="99"/>
    <w:semiHidden/>
    <w:unhideWhenUsed/>
    <w:rsid w:val="006B6AD2"/>
    <w:rPr>
      <w:vertAlign w:val="superscript"/>
    </w:rPr>
  </w:style>
  <w:style w:type="paragraph" w:styleId="ListeParagraf">
    <w:name w:val="List Paragraph"/>
    <w:basedOn w:val="Normal"/>
    <w:uiPriority w:val="34"/>
    <w:qFormat/>
    <w:rsid w:val="009A6F79"/>
    <w:pPr>
      <w:ind w:left="720"/>
      <w:contextualSpacing/>
    </w:pPr>
  </w:style>
  <w:style w:type="paragraph" w:styleId="stbilgi">
    <w:name w:val="header"/>
    <w:basedOn w:val="Normal"/>
    <w:link w:val="stbilgiChar"/>
    <w:uiPriority w:val="99"/>
    <w:unhideWhenUsed/>
    <w:rsid w:val="00DA70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70C3"/>
  </w:style>
  <w:style w:type="paragraph" w:styleId="Altbilgi">
    <w:name w:val="footer"/>
    <w:basedOn w:val="Normal"/>
    <w:link w:val="AltbilgiChar"/>
    <w:uiPriority w:val="99"/>
    <w:unhideWhenUsed/>
    <w:rsid w:val="00DA70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70C3"/>
  </w:style>
  <w:style w:type="paragraph" w:styleId="AralkYok">
    <w:name w:val="No Spacing"/>
    <w:link w:val="AralkYokChar"/>
    <w:uiPriority w:val="1"/>
    <w:qFormat/>
    <w:rsid w:val="003447A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447A9"/>
    <w:rPr>
      <w:rFonts w:eastAsiaTheme="minorEastAsia"/>
      <w:lang w:eastAsia="tr-TR"/>
    </w:rPr>
  </w:style>
  <w:style w:type="paragraph" w:styleId="BalonMetni">
    <w:name w:val="Balloon Text"/>
    <w:basedOn w:val="Normal"/>
    <w:link w:val="BalonMetniChar"/>
    <w:uiPriority w:val="99"/>
    <w:semiHidden/>
    <w:unhideWhenUsed/>
    <w:rsid w:val="003447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47A9"/>
    <w:rPr>
      <w:rFonts w:ascii="Tahoma" w:hAnsi="Tahoma" w:cs="Tahoma"/>
      <w:sz w:val="16"/>
      <w:szCs w:val="16"/>
    </w:rPr>
  </w:style>
  <w:style w:type="character" w:styleId="YerTutucuMetni">
    <w:name w:val="Placeholder Text"/>
    <w:basedOn w:val="VarsaylanParagrafYazTipi"/>
    <w:uiPriority w:val="99"/>
    <w:semiHidden/>
    <w:rsid w:val="0030731C"/>
    <w:rPr>
      <w:color w:val="808080"/>
    </w:rPr>
  </w:style>
  <w:style w:type="table" w:customStyle="1" w:styleId="TabloKlavuzu1">
    <w:name w:val="Tablo Kılavuzu1"/>
    <w:basedOn w:val="NormalTablo"/>
    <w:next w:val="TabloKlavuzu"/>
    <w:uiPriority w:val="59"/>
    <w:rsid w:val="0027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27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3156</Words>
  <Characters>17994</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MİLLİ EĞİTİM BAKANLIĞI                Strateji Geliştirme Başkanlığı</vt:lpstr>
    </vt:vector>
  </TitlesOfParts>
  <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EĞİTİM BAKANLIĞI                Strateji Geliştirme Başkanlığı</dc:title>
  <dc:creator>Murat AKKUS</dc:creator>
  <cp:lastModifiedBy>unal</cp:lastModifiedBy>
  <cp:revision>2</cp:revision>
  <dcterms:created xsi:type="dcterms:W3CDTF">2019-03-04T05:24:00Z</dcterms:created>
  <dcterms:modified xsi:type="dcterms:W3CDTF">2019-03-04T05:24:00Z</dcterms:modified>
</cp:coreProperties>
</file>